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60" w:after="120" w:line="240" w:lineRule="auto"/>
        <w:jc w:val="left"/>
      </w:pPr>
      <w:r>
        <w:rPr>
          <w:rFonts w:ascii="Aptos" w:hAnsi="Aptos"/>
          <w:b/>
          <w:color w:val="155EEF"/>
          <w:sz w:val="22"/>
        </w:rPr>
        <w:t>ZAR LYNX × AINNA</w:t>
      </w:r>
    </w:p>
    <w:p>
      <w:pPr>
        <w:spacing w:before="200" w:after="120" w:line="228" w:lineRule="auto"/>
      </w:pPr>
      <w:r>
        <w:rPr>
          <w:rFonts w:ascii="Aptos" w:hAnsi="Aptos"/>
          <w:b/>
          <w:color w:val="0B1F3A"/>
          <w:sz w:val="66"/>
        </w:rPr>
        <w:t>Founder Financial</w:t>
        <w:br/>
        <w:t>Command Centre</w:t>
      </w:r>
    </w:p>
    <w:p>
      <w:pPr>
        <w:spacing w:before="100" w:after="320" w:line="288" w:lineRule="auto"/>
      </w:pPr>
      <w:r>
        <w:rPr>
          <w:rFonts w:ascii="Aptos" w:hAnsi="Aptos"/>
          <w:b w:val="0"/>
          <w:color w:val="607086"/>
          <w:sz w:val="28"/>
        </w:rPr>
        <w:t>Finance Intelligence, Reconciliation &amp; Management Reporting Layer</w:t>
      </w:r>
    </w:p>
    <w:tbl>
      <w:tblPr>
        <w:tblW w:type="auto" w:w="0"/>
        <w:jc w:val="center"/>
        <w:tblLook w:firstColumn="1" w:firstRow="1" w:lastColumn="0" w:lastRow="0" w:noHBand="0" w:noVBand="1" w:val="04A0"/>
      </w:tblPr>
      <w:tblGrid>
        <w:gridCol w:w="10166"/>
      </w:tblGrid>
      <w:tr>
        <w:tc>
          <w:tcPr>
            <w:tcW w:type="dxa" w:w="10166"/>
            <w:shd w:fill="0B1F3A"/>
            <w:tcMar>
              <w:top w:w="260" w:type="dxa"/>
              <w:start w:w="260" w:type="dxa"/>
              <w:bottom w:w="260" w:type="dxa"/>
              <w:end w:w="260" w:type="dxa"/>
            </w:tcMar>
            <w:tcBorders>
              <w:top w:val="single" w:sz="0" w:color="0B1F3A"/>
              <w:left w:val="single" w:sz="0" w:color="0B1F3A"/>
              <w:bottom w:val="single" w:sz="0" w:color="0B1F3A"/>
              <w:right w:val="single" w:sz="0" w:color="0B1F3A"/>
            </w:tcBorders>
          </w:tcPr>
          <w:p>
            <w:pPr>
              <w:spacing w:before="0" w:after="160" w:line="240" w:lineRule="auto"/>
            </w:pPr>
            <w:r>
              <w:rPr>
                <w:rFonts w:ascii="Aptos" w:hAnsi="Aptos"/>
                <w:b/>
                <w:color w:val="79A9FF"/>
                <w:sz w:val="18"/>
              </w:rPr>
              <w:t>Proposed for</w:t>
            </w:r>
          </w:p>
          <w:p>
            <w:pPr>
              <w:spacing w:before="0" w:after="200" w:line="240" w:lineRule="auto"/>
            </w:pPr>
            <w:r>
              <w:rPr>
                <w:rFonts w:ascii="Aptos" w:hAnsi="Aptos"/>
                <w:b/>
                <w:color w:val="FFFFFF"/>
                <w:sz w:val="44"/>
              </w:rPr>
              <w:t>Zar Lynx Sdn Bhd</w:t>
            </w:r>
          </w:p>
          <w:p>
            <w:pPr>
              <w:spacing w:before="0" w:after="0" w:line="276" w:lineRule="auto"/>
            </w:pPr>
            <w:r>
              <w:rPr>
                <w:rFonts w:ascii="Aptos" w:hAnsi="Aptos"/>
                <w:b w:val="0"/>
                <w:color w:val="C8D7EA"/>
                <w:sz w:val="22"/>
              </w:rPr>
              <w:t>POC / Phase 1 Proposal</w:t>
            </w:r>
          </w:p>
        </w:tc>
      </w:tr>
    </w:tbl>
    <w:p>
      <w:pPr>
        <w:spacing w:before="0" w:after="60" w:line="283" w:lineRule="auto"/>
      </w:pPr>
      <w:r>
        <w:rPr>
          <w:rFonts w:ascii="Aptos" w:hAnsi="Aptos"/>
          <w:b/>
          <w:color w:val="0B1F3A"/>
          <w:sz w:val="20"/>
        </w:rPr>
        <w:t>Prepared by AINNA</w:t>
      </w:r>
      <w:r>
        <w:rPr>
          <w:rFonts w:ascii="Aptos" w:hAnsi="Aptos"/>
          <w:b w:val="0"/>
          <w:color w:val="607086"/>
          <w:sz w:val="20"/>
        </w:rPr>
        <w:t xml:space="preserve"> | Powered by NeuralOps</w:t>
      </w:r>
    </w:p>
    <w:p>
      <w:pPr>
        <w:spacing w:before="0" w:after="40" w:line="283" w:lineRule="auto"/>
      </w:pPr>
      <w:r>
        <w:rPr>
          <w:rFonts w:ascii="Aptos" w:hAnsi="Aptos"/>
          <w:b w:val="0"/>
          <w:color w:val="607086"/>
          <w:sz w:val="19"/>
        </w:rPr>
        <w:t>Proposal date: 3 September 2026</w:t>
      </w:r>
    </w:p>
    <w:p>
      <w:pPr>
        <w:spacing w:before="0" w:after="280" w:line="283" w:lineRule="auto"/>
      </w:pPr>
      <w:r>
        <w:rPr>
          <w:rFonts w:ascii="Aptos" w:hAnsi="Aptos"/>
          <w:b w:val="0"/>
          <w:color w:val="607086"/>
          <w:sz w:val="19"/>
        </w:rPr>
        <w:t>Confidential — for discussion and scope validation.</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F97316"/>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Proposal Basis</w:t>
            </w:r>
          </w:p>
          <w:p>
            <w:pPr>
              <w:spacing w:before="0" w:after="0" w:line="276" w:lineRule="auto"/>
            </w:pPr>
            <w:r>
              <w:rPr>
                <w:rFonts w:ascii="Aptos" w:hAnsi="Aptos"/>
                <w:b w:val="0"/>
                <w:color w:val="607086"/>
                <w:sz w:val="19"/>
              </w:rPr>
              <w:t>This proposal is based on the current Zar Lynx finance survey submission. The survey is marked “Completed: No”; therefore, requirements should be validated during POC kickoff before final implementation scope is locked.</w:t>
            </w:r>
          </w:p>
        </w:tc>
      </w:tr>
    </w:tbl>
    <w:p>
      <w:r>
        <w:br w:type="page"/>
      </w:r>
    </w:p>
    <w:p>
      <w:pPr>
        <w:keepNext/>
        <w:spacing w:before="0" w:after="80" w:line="240" w:lineRule="auto"/>
      </w:pPr>
      <w:r>
        <w:rPr>
          <w:rFonts w:ascii="Aptos" w:hAnsi="Aptos"/>
          <w:b/>
          <w:color w:val="12B8A6"/>
          <w:sz w:val="17"/>
        </w:rPr>
        <w:t>01 — EXECUTIVE SUMMARY</w:t>
      </w:r>
    </w:p>
    <w:p>
      <w:pPr>
        <w:keepNext/>
        <w:spacing w:before="100" w:after="160" w:line="240" w:lineRule="auto"/>
      </w:pPr>
      <w:r>
        <w:rPr>
          <w:rFonts w:ascii="Aptos" w:hAnsi="Aptos"/>
          <w:b/>
          <w:color w:val="0B1F3A"/>
          <w:sz w:val="44"/>
        </w:rPr>
        <w:t>Extend SQL Accounting. Do not replace it.</w:t>
      </w:r>
    </w:p>
    <w:p>
      <w:pPr>
        <w:spacing w:before="0" w:after="120" w:line="283" w:lineRule="auto"/>
      </w:pPr>
      <w:r>
        <w:rPr>
          <w:rFonts w:ascii="Aptos" w:hAnsi="Aptos"/>
          <w:b w:val="0"/>
          <w:color w:val="607086"/>
          <w:sz w:val="21"/>
        </w:rPr>
        <w:t>Zar Lynx is not reporting a major finance-system failure. The stated objective is improvement: better financial visibility, faster month-end closing, cash-flow monitoring, management reporting, financial accuracy, audit readiness, cost control and better management decision-making.</w:t>
      </w:r>
    </w:p>
    <w:p>
      <w:pPr>
        <w:spacing w:before="0" w:after="120" w:line="283" w:lineRule="auto"/>
      </w:pPr>
      <w:r>
        <w:rPr>
          <w:rFonts w:ascii="Aptos" w:hAnsi="Aptos"/>
          <w:b w:val="0"/>
          <w:color w:val="607086"/>
          <w:sz w:val="21"/>
        </w:rPr>
        <w:t>AINNA proposes a Founder Financial Command Centre that sits above the existing finance environment. SQL Accounting remains the accounting system of record, while AINNA provides data ingestion, bank reconciliation, exception handling, management reporting and NeuralOps-powered financial intelligence.</w:t>
      </w:r>
    </w:p>
    <w:p>
      <w:pPr>
        <w:keepNext/>
        <w:spacing w:before="100" w:after="160" w:line="240" w:lineRule="auto"/>
      </w:pPr>
      <w:r>
        <w:rPr>
          <w:rFonts w:ascii="Aptos" w:hAnsi="Aptos"/>
          <w:b/>
          <w:color w:val="0B1F3A"/>
          <w:sz w:val="30"/>
        </w:rPr>
        <w:t>Current requirement profile</w:t>
      </w:r>
    </w:p>
    <w:tbl>
      <w:tblPr>
        <w:tblW w:type="auto" w:w="0"/>
        <w:jc w:val="center"/>
        <w:tblLayout w:type="fixed"/>
        <w:tblLook w:firstColumn="1" w:firstRow="1" w:lastColumn="0" w:lastRow="0" w:noHBand="0" w:noVBand="1" w:val="04A0"/>
      </w:tblPr>
      <w:tblGrid>
        <w:gridCol w:w="5083"/>
        <w:gridCol w:w="5083"/>
      </w:tblGrid>
      <w:tr>
        <w:trPr>
          <w:tblHeader w:val="true"/>
        </w:trPr>
        <w:tc>
          <w:tcPr>
            <w:tcW w:type="dxa" w:w="5083"/>
            <w:shd w:fill="0B1F3A"/>
            <w:tcMar>
              <w:top w:w="110" w:type="dxa"/>
              <w:start w:w="120" w:type="dxa"/>
              <w:bottom w:w="110" w:type="dxa"/>
              <w:end w:w="120" w:type="dxa"/>
            </w:tcMar>
          </w:tcPr>
          <w:p>
            <w:pPr>
              <w:spacing w:before="0" w:after="0" w:line="240" w:lineRule="auto"/>
            </w:pPr>
            <w:r>
              <w:rPr>
                <w:rFonts w:ascii="Aptos" w:hAnsi="Aptos"/>
                <w:b/>
                <w:color w:val="FFFFFF"/>
                <w:sz w:val="19"/>
              </w:rPr>
              <w:t>Requirement</w:t>
            </w:r>
          </w:p>
        </w:tc>
        <w:tc>
          <w:tcPr>
            <w:tcW w:type="dxa" w:w="5083"/>
            <w:shd w:fill="0B1F3A"/>
            <w:tcMar>
              <w:top w:w="110" w:type="dxa"/>
              <w:start w:w="120" w:type="dxa"/>
              <w:bottom w:w="110" w:type="dxa"/>
              <w:end w:w="120" w:type="dxa"/>
            </w:tcMar>
          </w:tcPr>
          <w:p>
            <w:pPr>
              <w:spacing w:before="0" w:after="0" w:line="240" w:lineRule="auto"/>
            </w:pPr>
            <w:r>
              <w:rPr>
                <w:rFonts w:ascii="Aptos" w:hAnsi="Aptos"/>
                <w:b/>
                <w:color w:val="FFFFFF"/>
                <w:sz w:val="19"/>
              </w:rPr>
              <w:t>Survey response</w:t>
            </w:r>
          </w:p>
        </w:tc>
      </w:tr>
      <w:tr>
        <w:tc>
          <w:tcPr>
            <w:tcW w:type="dxa" w:w="2880"/>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color w:val="0B1F3A"/>
                <w:sz w:val="18"/>
              </w:rPr>
              <w:t>Existing source systems</w:t>
            </w:r>
          </w:p>
        </w:tc>
        <w:tc>
          <w:tcPr>
            <w:tcW w:type="dxa" w:w="6768"/>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val="0"/>
                <w:color w:val="607086"/>
                <w:sz w:val="18"/>
              </w:rPr>
              <w:t>SQL Accounting + bank statements (PDF)</w:t>
            </w:r>
          </w:p>
        </w:tc>
      </w:tr>
      <w:tr>
        <w:tc>
          <w:tcPr>
            <w:tcW w:type="dxa" w:w="2880"/>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color w:val="0B1F3A"/>
                <w:sz w:val="18"/>
              </w:rPr>
              <w:t>Scale</w:t>
            </w:r>
          </w:p>
        </w:tc>
        <w:tc>
          <w:tcPr>
            <w:tcW w:type="dxa" w:w="6768"/>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val="0"/>
                <w:color w:val="607086"/>
                <w:sz w:val="18"/>
              </w:rPr>
              <w:t>1–5 users; approximately 500–2,000 transactions per month</w:t>
            </w:r>
          </w:p>
        </w:tc>
      </w:tr>
      <w:tr>
        <w:tc>
          <w:tcPr>
            <w:tcW w:type="dxa" w:w="2880"/>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color w:val="0B1F3A"/>
                <w:sz w:val="18"/>
              </w:rPr>
              <w:t>Top priorities</w:t>
            </w:r>
          </w:p>
        </w:tc>
        <w:tc>
          <w:tcPr>
            <w:tcW w:type="dxa" w:w="6768"/>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val="0"/>
                <w:color w:val="607086"/>
                <w:sz w:val="18"/>
              </w:rPr>
              <w:t>Financial reporting, bank reconciliation, integration with existing systems, general ledger and budgeting</w:t>
            </w:r>
          </w:p>
        </w:tc>
      </w:tr>
      <w:tr>
        <w:tc>
          <w:tcPr>
            <w:tcW w:type="dxa" w:w="2880"/>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color w:val="0B1F3A"/>
                <w:sz w:val="18"/>
              </w:rPr>
              <w:t>Reporting cadence</w:t>
            </w:r>
          </w:p>
        </w:tc>
        <w:tc>
          <w:tcPr>
            <w:tcW w:type="dxa" w:w="6768"/>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val="0"/>
                <w:color w:val="607086"/>
                <w:sz w:val="18"/>
              </w:rPr>
              <w:t>Weekly, monthly, quarterly and yearly</w:t>
            </w:r>
          </w:p>
        </w:tc>
      </w:tr>
      <w:tr>
        <w:tc>
          <w:tcPr>
            <w:tcW w:type="dxa" w:w="2880"/>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color w:val="0B1F3A"/>
                <w:sz w:val="18"/>
              </w:rPr>
              <w:t>Expected outcome</w:t>
            </w:r>
          </w:p>
        </w:tc>
        <w:tc>
          <w:tcPr>
            <w:tcW w:type="dxa" w:w="6768"/>
            <w:tcBorders>
              <w:top w:val="nil"/>
              <w:left w:val="nil"/>
              <w:bottom w:val="single" w:sz="6" w:color="DCE5F0"/>
              <w:right w:val="nil"/>
            </w:tcBorders>
            <w:tcMar>
              <w:top w:w="95" w:type="dxa"/>
              <w:start w:w="120" w:type="dxa"/>
              <w:bottom w:w="95" w:type="dxa"/>
              <w:end w:w="120" w:type="dxa"/>
            </w:tcMar>
          </w:tcPr>
          <w:p>
            <w:pPr>
              <w:spacing w:before="0" w:after="0" w:line="240" w:lineRule="auto"/>
            </w:pPr>
            <w:r>
              <w:rPr>
                <w:rFonts w:ascii="Aptos" w:hAnsi="Aptos"/>
                <w:b w:val="0"/>
                <w:color w:val="607086"/>
                <w:sz w:val="18"/>
              </w:rPr>
              <w:t>Faster reporting, easier user experience, one central finance view and better financial accuracy</w:t>
            </w:r>
          </w:p>
        </w:tc>
      </w:tr>
    </w:tbl>
    <w:p>
      <w:pPr>
        <w:keepNext/>
        <w:spacing w:before="100" w:after="160" w:line="240" w:lineRule="auto"/>
      </w:pPr>
      <w:r>
        <w:rPr>
          <w:rFonts w:ascii="Aptos" w:hAnsi="Aptos"/>
          <w:b/>
          <w:color w:val="0B1F3A"/>
          <w:sz w:val="30"/>
        </w:rPr>
        <w:t>Recommended positioning</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12B8A6"/>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AINNA Finance Intelligence Layer</w:t>
            </w:r>
          </w:p>
          <w:p>
            <w:pPr>
              <w:spacing w:before="0" w:after="0" w:line="276" w:lineRule="auto"/>
            </w:pPr>
            <w:r>
              <w:rPr>
                <w:rFonts w:ascii="Aptos" w:hAnsi="Aptos"/>
                <w:b w:val="0"/>
                <w:color w:val="607086"/>
                <w:sz w:val="19"/>
              </w:rPr>
              <w:t>Position the POC as an intelligence and automation layer on top of the existing SQL Accounting workflow — not as a replacement accounting system.</w:t>
            </w:r>
          </w:p>
        </w:tc>
      </w:tr>
    </w:tbl>
    <w:tbl>
      <w:tblPr>
        <w:tblW w:type="auto" w:w="0"/>
        <w:jc w:val="left"/>
        <w:tblLayout w:type="autofit"/>
        <w:tblLook w:firstColumn="1" w:firstRow="1" w:lastColumn="0" w:lastRow="0" w:noHBand="0" w:noVBand="1" w:val="04A0"/>
      </w:tblPr>
      <w:tblGrid>
        <w:gridCol w:w="2541"/>
        <w:gridCol w:w="2541"/>
        <w:gridCol w:w="2541"/>
        <w:gridCol w:w="2541"/>
      </w:tblGrid>
      <w:tr>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SQL Accounting stays</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Low-disruption POC</w:t>
            </w:r>
          </w:p>
        </w:tc>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Founder visibility</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AI-assisted analysis</w:t>
            </w:r>
          </w:p>
        </w:tc>
      </w:tr>
    </w:tbl>
    <w:p>
      <w:r>
        <w:br w:type="page"/>
      </w:r>
    </w:p>
    <w:p>
      <w:pPr>
        <w:keepNext/>
        <w:spacing w:before="0" w:after="80" w:line="240" w:lineRule="auto"/>
      </w:pPr>
      <w:r>
        <w:rPr>
          <w:rFonts w:ascii="Aptos" w:hAnsi="Aptos"/>
          <w:b/>
          <w:color w:val="12B8A6"/>
          <w:sz w:val="17"/>
        </w:rPr>
        <w:t>02 — PROPOSED ARCHITECTURE</w:t>
      </w:r>
    </w:p>
    <w:p>
      <w:pPr>
        <w:keepNext/>
        <w:spacing w:before="100" w:after="160" w:line="240" w:lineRule="auto"/>
      </w:pPr>
      <w:r>
        <w:rPr>
          <w:rFonts w:ascii="Aptos" w:hAnsi="Aptos"/>
          <w:b/>
          <w:color w:val="0B1F3A"/>
          <w:sz w:val="44"/>
        </w:rPr>
        <w:t>A controlled data-to-decision flow</w:t>
      </w:r>
    </w:p>
    <w:p>
      <w:pPr>
        <w:spacing w:before="0" w:after="120" w:line="283" w:lineRule="auto"/>
      </w:pPr>
      <w:r>
        <w:rPr>
          <w:rFonts w:ascii="Aptos" w:hAnsi="Aptos"/>
          <w:b w:val="0"/>
          <w:color w:val="607086"/>
          <w:sz w:val="21"/>
        </w:rPr>
        <w:t>Phase 1 starts with file-based ingestion to minimise implementation risk. Direct database or API integration can be evaluated after the POC proves the reconciliation logic, reporting model and management value.</w:t>
      </w:r>
    </w:p>
    <w:tbl>
      <w:tblPr>
        <w:tblW w:type="auto" w:w="0"/>
        <w:jc w:val="center"/>
        <w:tblLayout w:type="fixed"/>
        <w:tblLook w:firstColumn="1" w:firstRow="1" w:lastColumn="0" w:lastRow="0" w:noHBand="0" w:noVBand="1" w:val="04A0"/>
      </w:tblPr>
      <w:tblGrid>
        <w:gridCol w:w="2033"/>
        <w:gridCol w:w="2033"/>
        <w:gridCol w:w="2033"/>
        <w:gridCol w:w="2033"/>
        <w:gridCol w:w="2033"/>
      </w:tblGrid>
      <w:tr>
        <w:tc>
          <w:tcPr>
            <w:tcW w:type="dxa" w:w="2033"/>
            <w:shd w:fill="EFF5FF"/>
            <w:tcBorders>
              <w:top w:val="single" w:sz="8" w:color="DCE5F0"/>
              <w:left w:val="single" w:sz="8" w:color="DCE5F0"/>
              <w:bottom w:val="single" w:sz="8" w:color="DCE5F0"/>
              <w:right w:val="single" w:sz="8" w:color="DCE5F0"/>
            </w:tcBorders>
            <w:tcMar>
              <w:top w:w="120" w:type="dxa"/>
              <w:start w:w="85" w:type="dxa"/>
              <w:bottom w:w="120" w:type="dxa"/>
              <w:end w:w="85" w:type="dxa"/>
            </w:tcMar>
            <w:vAlign w:val="center"/>
          </w:tcPr>
          <w:p>
            <w:pPr>
              <w:spacing w:before="0" w:after="40" w:line="240" w:lineRule="auto"/>
              <w:jc w:val="center"/>
            </w:pPr>
            <w:r>
              <w:rPr>
                <w:rFonts w:ascii="Aptos" w:hAnsi="Aptos"/>
                <w:b/>
                <w:color w:val="12B8A6"/>
                <w:sz w:val="16"/>
              </w:rPr>
              <w:t>01</w:t>
            </w:r>
          </w:p>
          <w:p>
            <w:pPr>
              <w:spacing w:before="0" w:after="60" w:line="240" w:lineRule="auto"/>
              <w:jc w:val="center"/>
            </w:pPr>
            <w:r>
              <w:rPr>
                <w:rFonts w:ascii="Aptos" w:hAnsi="Aptos"/>
                <w:b/>
                <w:color w:val="0B1F3A"/>
                <w:sz w:val="18"/>
              </w:rPr>
              <w:t>Bank + SQL</w:t>
            </w:r>
          </w:p>
          <w:p>
            <w:pPr>
              <w:spacing w:before="0" w:after="0" w:line="245" w:lineRule="auto"/>
              <w:jc w:val="center"/>
            </w:pPr>
            <w:r>
              <w:rPr>
                <w:rFonts w:ascii="Aptos" w:hAnsi="Aptos"/>
                <w:b w:val="0"/>
                <w:color w:val="607086"/>
                <w:sz w:val="15"/>
              </w:rPr>
              <w:t>Daily bank data</w:t>
              <w:br/>
              <w:t>Weekly SQL export</w:t>
            </w:r>
          </w:p>
        </w:tc>
        <w:tc>
          <w:tcPr>
            <w:tcW w:type="dxa" w:w="2033"/>
            <w:shd w:fill="F7F9FC"/>
            <w:tcBorders>
              <w:top w:val="single" w:sz="8" w:color="DCE5F0"/>
              <w:left w:val="single" w:sz="8" w:color="DCE5F0"/>
              <w:bottom w:val="single" w:sz="8" w:color="DCE5F0"/>
              <w:right w:val="single" w:sz="8" w:color="DCE5F0"/>
            </w:tcBorders>
            <w:tcMar>
              <w:top w:w="120" w:type="dxa"/>
              <w:start w:w="85" w:type="dxa"/>
              <w:bottom w:w="120" w:type="dxa"/>
              <w:end w:w="85" w:type="dxa"/>
            </w:tcMar>
            <w:vAlign w:val="center"/>
          </w:tcPr>
          <w:p>
            <w:pPr>
              <w:spacing w:before="0" w:after="40" w:line="240" w:lineRule="auto"/>
              <w:jc w:val="center"/>
            </w:pPr>
            <w:r>
              <w:rPr>
                <w:rFonts w:ascii="Aptos" w:hAnsi="Aptos"/>
                <w:b/>
                <w:color w:val="12B8A6"/>
                <w:sz w:val="16"/>
              </w:rPr>
              <w:t>02</w:t>
            </w:r>
          </w:p>
          <w:p>
            <w:pPr>
              <w:spacing w:before="0" w:after="60" w:line="240" w:lineRule="auto"/>
              <w:jc w:val="center"/>
            </w:pPr>
            <w:r>
              <w:rPr>
                <w:rFonts w:ascii="Aptos" w:hAnsi="Aptos"/>
                <w:b/>
                <w:color w:val="0B1F3A"/>
                <w:sz w:val="18"/>
              </w:rPr>
              <w:t>AINNA Import</w:t>
            </w:r>
          </w:p>
          <w:p>
            <w:pPr>
              <w:spacing w:before="0" w:after="0" w:line="245" w:lineRule="auto"/>
              <w:jc w:val="center"/>
            </w:pPr>
            <w:r>
              <w:rPr>
                <w:rFonts w:ascii="Aptos" w:hAnsi="Aptos"/>
                <w:b w:val="0"/>
                <w:color w:val="607086"/>
                <w:sz w:val="15"/>
              </w:rPr>
              <w:t>Recompiler +</w:t>
              <w:br/>
              <w:t>normalisation</w:t>
            </w:r>
          </w:p>
        </w:tc>
        <w:tc>
          <w:tcPr>
            <w:tcW w:type="dxa" w:w="2033"/>
            <w:shd w:fill="F7F9FC"/>
            <w:tcBorders>
              <w:top w:val="single" w:sz="8" w:color="DCE5F0"/>
              <w:left w:val="single" w:sz="8" w:color="DCE5F0"/>
              <w:bottom w:val="single" w:sz="8" w:color="DCE5F0"/>
              <w:right w:val="single" w:sz="8" w:color="DCE5F0"/>
            </w:tcBorders>
            <w:tcMar>
              <w:top w:w="120" w:type="dxa"/>
              <w:start w:w="85" w:type="dxa"/>
              <w:bottom w:w="120" w:type="dxa"/>
              <w:end w:w="85" w:type="dxa"/>
            </w:tcMar>
            <w:vAlign w:val="center"/>
          </w:tcPr>
          <w:p>
            <w:pPr>
              <w:spacing w:before="0" w:after="40" w:line="240" w:lineRule="auto"/>
              <w:jc w:val="center"/>
            </w:pPr>
            <w:r>
              <w:rPr>
                <w:rFonts w:ascii="Aptos" w:hAnsi="Aptos"/>
                <w:b/>
                <w:color w:val="12B8A6"/>
                <w:sz w:val="16"/>
              </w:rPr>
              <w:t>03</w:t>
            </w:r>
          </w:p>
          <w:p>
            <w:pPr>
              <w:spacing w:before="0" w:after="60" w:line="240" w:lineRule="auto"/>
              <w:jc w:val="center"/>
            </w:pPr>
            <w:r>
              <w:rPr>
                <w:rFonts w:ascii="Aptos" w:hAnsi="Aptos"/>
                <w:b/>
                <w:color w:val="0B1F3A"/>
                <w:sz w:val="18"/>
              </w:rPr>
              <w:t>Reconcile</w:t>
            </w:r>
          </w:p>
          <w:p>
            <w:pPr>
              <w:spacing w:before="0" w:after="0" w:line="245" w:lineRule="auto"/>
              <w:jc w:val="center"/>
            </w:pPr>
            <w:r>
              <w:rPr>
                <w:rFonts w:ascii="Aptos" w:hAnsi="Aptos"/>
                <w:b w:val="0"/>
                <w:color w:val="607086"/>
                <w:sz w:val="15"/>
              </w:rPr>
              <w:t>Matching, validation</w:t>
              <w:br/>
              <w:t>&amp; exceptions</w:t>
            </w:r>
          </w:p>
        </w:tc>
        <w:tc>
          <w:tcPr>
            <w:tcW w:type="dxa" w:w="2033"/>
            <w:shd w:fill="F7F9FC"/>
            <w:tcBorders>
              <w:top w:val="single" w:sz="8" w:color="DCE5F0"/>
              <w:left w:val="single" w:sz="8" w:color="DCE5F0"/>
              <w:bottom w:val="single" w:sz="8" w:color="DCE5F0"/>
              <w:right w:val="single" w:sz="8" w:color="DCE5F0"/>
            </w:tcBorders>
            <w:tcMar>
              <w:top w:w="120" w:type="dxa"/>
              <w:start w:w="85" w:type="dxa"/>
              <w:bottom w:w="120" w:type="dxa"/>
              <w:end w:w="85" w:type="dxa"/>
            </w:tcMar>
            <w:vAlign w:val="center"/>
          </w:tcPr>
          <w:p>
            <w:pPr>
              <w:spacing w:before="0" w:after="40" w:line="240" w:lineRule="auto"/>
              <w:jc w:val="center"/>
            </w:pPr>
            <w:r>
              <w:rPr>
                <w:rFonts w:ascii="Aptos" w:hAnsi="Aptos"/>
                <w:b/>
                <w:color w:val="12B8A6"/>
                <w:sz w:val="16"/>
              </w:rPr>
              <w:t>04</w:t>
            </w:r>
          </w:p>
          <w:p>
            <w:pPr>
              <w:spacing w:before="0" w:after="60" w:line="240" w:lineRule="auto"/>
              <w:jc w:val="center"/>
            </w:pPr>
            <w:r>
              <w:rPr>
                <w:rFonts w:ascii="Aptos" w:hAnsi="Aptos"/>
                <w:b/>
                <w:color w:val="0B1F3A"/>
                <w:sz w:val="18"/>
              </w:rPr>
              <w:t>Finance Engine</w:t>
            </w:r>
          </w:p>
          <w:p>
            <w:pPr>
              <w:spacing w:before="0" w:after="0" w:line="245" w:lineRule="auto"/>
              <w:jc w:val="center"/>
            </w:pPr>
            <w:r>
              <w:rPr>
                <w:rFonts w:ascii="Aptos" w:hAnsi="Aptos"/>
                <w:b w:val="0"/>
                <w:color w:val="607086"/>
                <w:sz w:val="15"/>
              </w:rPr>
              <w:t>P&amp;L, BS, cash flow,</w:t>
              <w:br/>
              <w:t>AR/AP, variance</w:t>
            </w:r>
          </w:p>
        </w:tc>
        <w:tc>
          <w:tcPr>
            <w:tcW w:type="dxa" w:w="2033"/>
            <w:shd w:fill="EFF5FF"/>
            <w:tcBorders>
              <w:top w:val="single" w:sz="8" w:color="DCE5F0"/>
              <w:left w:val="single" w:sz="8" w:color="DCE5F0"/>
              <w:bottom w:val="single" w:sz="8" w:color="DCE5F0"/>
              <w:right w:val="single" w:sz="8" w:color="DCE5F0"/>
            </w:tcBorders>
            <w:tcMar>
              <w:top w:w="120" w:type="dxa"/>
              <w:start w:w="85" w:type="dxa"/>
              <w:bottom w:w="120" w:type="dxa"/>
              <w:end w:w="85" w:type="dxa"/>
            </w:tcMar>
            <w:vAlign w:val="center"/>
          </w:tcPr>
          <w:p>
            <w:pPr>
              <w:spacing w:before="0" w:after="40" w:line="240" w:lineRule="auto"/>
              <w:jc w:val="center"/>
            </w:pPr>
            <w:r>
              <w:rPr>
                <w:rFonts w:ascii="Aptos" w:hAnsi="Aptos"/>
                <w:b/>
                <w:color w:val="12B8A6"/>
                <w:sz w:val="16"/>
              </w:rPr>
              <w:t>05</w:t>
            </w:r>
          </w:p>
          <w:p>
            <w:pPr>
              <w:spacing w:before="0" w:after="60" w:line="240" w:lineRule="auto"/>
              <w:jc w:val="center"/>
            </w:pPr>
            <w:r>
              <w:rPr>
                <w:rFonts w:ascii="Aptos" w:hAnsi="Aptos"/>
                <w:b/>
                <w:color w:val="0B1F3A"/>
                <w:sz w:val="18"/>
              </w:rPr>
              <w:t>Command Centre</w:t>
            </w:r>
          </w:p>
          <w:p>
            <w:pPr>
              <w:spacing w:before="0" w:after="0" w:line="245" w:lineRule="auto"/>
              <w:jc w:val="center"/>
            </w:pPr>
            <w:r>
              <w:rPr>
                <w:rFonts w:ascii="Aptos" w:hAnsi="Aptos"/>
                <w:b w:val="0"/>
                <w:color w:val="607086"/>
                <w:sz w:val="15"/>
              </w:rPr>
              <w:t>Admin operations +</w:t>
              <w:br/>
              <w:t>Founder intelligence</w:t>
            </w:r>
          </w:p>
        </w:tc>
      </w:tr>
    </w:tbl>
    <w:p>
      <w:pPr>
        <w:keepNext/>
        <w:spacing w:before="100" w:after="160" w:line="240" w:lineRule="auto"/>
      </w:pPr>
      <w:r>
        <w:rPr>
          <w:rFonts w:ascii="Aptos" w:hAnsi="Aptos"/>
          <w:b/>
          <w:color w:val="0B1F3A"/>
          <w:sz w:val="30"/>
        </w:rPr>
        <w:t>Operating cycle</w:t>
      </w:r>
    </w:p>
    <w:tbl>
      <w:tblPr>
        <w:tblW w:type="auto" w:w="0"/>
        <w:jc w:val="center"/>
        <w:tblLayout w:type="fixed"/>
        <w:tblLook w:firstColumn="1" w:firstRow="1" w:lastColumn="0" w:lastRow="0" w:noHBand="0" w:noVBand="1" w:val="04A0"/>
      </w:tblPr>
      <w:tblGrid>
        <w:gridCol w:w="3389"/>
        <w:gridCol w:w="3389"/>
        <w:gridCol w:w="3389"/>
      </w:tblGrid>
      <w:tr>
        <w:tc>
          <w:tcPr>
            <w:tcW w:type="dxa" w:w="3389"/>
            <w:shd w:fill="EFF5FF"/>
            <w:tcBorders>
              <w:top w:val="single" w:sz="8" w:color="DCE5F0"/>
              <w:left w:val="single" w:sz="8" w:color="DCE5F0"/>
              <w:bottom w:val="single" w:sz="8" w:color="DCE5F0"/>
              <w:right w:val="single" w:sz="8" w:color="DCE5F0"/>
            </w:tcBorders>
            <w:tcMar>
              <w:top w:w="140" w:type="dxa"/>
              <w:start w:w="140" w:type="dxa"/>
              <w:bottom w:w="140" w:type="dxa"/>
              <w:end w:w="140" w:type="dxa"/>
            </w:tcMar>
          </w:tcPr>
          <w:p>
            <w:pPr>
              <w:spacing w:before="0" w:after="40" w:line="240" w:lineRule="auto"/>
            </w:pPr>
            <w:r>
              <w:rPr>
                <w:rFonts w:ascii="Aptos" w:hAnsi="Aptos"/>
                <w:b/>
                <w:color w:val="155EEF"/>
                <w:sz w:val="17"/>
              </w:rPr>
              <w:t>DAILY</w:t>
            </w:r>
          </w:p>
          <w:p>
            <w:pPr>
              <w:spacing w:before="0" w:after="140" w:line="240" w:lineRule="auto"/>
            </w:pPr>
            <w:r>
              <w:rPr>
                <w:rFonts w:ascii="Aptos" w:hAnsi="Aptos"/>
                <w:b/>
                <w:color w:val="0B1F3A"/>
                <w:sz w:val="22"/>
              </w:rPr>
              <w:t>Cash &amp; movement</w:t>
            </w:r>
          </w:p>
          <w:p>
            <w:pPr>
              <w:spacing w:before="0" w:after="60" w:line="252" w:lineRule="auto"/>
            </w:pPr>
            <w:r>
              <w:rPr>
                <w:rFonts w:ascii="Aptos" w:hAnsi="Aptos"/>
                <w:b w:val="0"/>
                <w:color w:val="607086"/>
                <w:sz w:val="16"/>
              </w:rPr>
              <w:t>• Bank statement / transaction upload</w:t>
            </w:r>
          </w:p>
          <w:p>
            <w:pPr>
              <w:spacing w:before="0" w:after="60" w:line="252" w:lineRule="auto"/>
            </w:pPr>
            <w:r>
              <w:rPr>
                <w:rFonts w:ascii="Aptos" w:hAnsi="Aptos"/>
                <w:b w:val="0"/>
                <w:color w:val="607086"/>
                <w:sz w:val="16"/>
              </w:rPr>
              <w:t>• Cash position &amp; bank movement</w:t>
            </w:r>
          </w:p>
          <w:p>
            <w:pPr>
              <w:spacing w:before="0" w:after="60" w:line="252" w:lineRule="auto"/>
            </w:pPr>
            <w:r>
              <w:rPr>
                <w:rFonts w:ascii="Aptos" w:hAnsi="Aptos"/>
                <w:b w:val="0"/>
                <w:color w:val="607086"/>
                <w:sz w:val="16"/>
              </w:rPr>
              <w:t>• Payment matching and exceptions</w:t>
            </w:r>
          </w:p>
          <w:p>
            <w:pPr>
              <w:spacing w:before="0" w:after="60" w:line="252" w:lineRule="auto"/>
            </w:pPr>
            <w:r>
              <w:rPr>
                <w:rFonts w:ascii="Aptos" w:hAnsi="Aptos"/>
                <w:b w:val="0"/>
                <w:color w:val="607086"/>
                <w:sz w:val="16"/>
              </w:rPr>
              <w:t>• Operational alerts</w:t>
            </w:r>
          </w:p>
        </w:tc>
        <w:tc>
          <w:tcPr>
            <w:tcW w:type="dxa" w:w="3389"/>
            <w:shd w:fill="ECFBF8"/>
            <w:tcBorders>
              <w:top w:val="single" w:sz="8" w:color="DCE5F0"/>
              <w:left w:val="single" w:sz="8" w:color="DCE5F0"/>
              <w:bottom w:val="single" w:sz="8" w:color="DCE5F0"/>
              <w:right w:val="single" w:sz="8" w:color="DCE5F0"/>
            </w:tcBorders>
            <w:tcMar>
              <w:top w:w="140" w:type="dxa"/>
              <w:start w:w="140" w:type="dxa"/>
              <w:bottom w:w="140" w:type="dxa"/>
              <w:end w:w="140" w:type="dxa"/>
            </w:tcMar>
          </w:tcPr>
          <w:p>
            <w:pPr>
              <w:spacing w:before="0" w:after="40" w:line="240" w:lineRule="auto"/>
            </w:pPr>
            <w:r>
              <w:rPr>
                <w:rFonts w:ascii="Aptos" w:hAnsi="Aptos"/>
                <w:b/>
                <w:color w:val="12B8A6"/>
                <w:sz w:val="17"/>
              </w:rPr>
              <w:t>WEEKLY</w:t>
            </w:r>
          </w:p>
          <w:p>
            <w:pPr>
              <w:spacing w:before="0" w:after="140" w:line="240" w:lineRule="auto"/>
            </w:pPr>
            <w:r>
              <w:rPr>
                <w:rFonts w:ascii="Aptos" w:hAnsi="Aptos"/>
                <w:b/>
                <w:color w:val="0B1F3A"/>
                <w:sz w:val="22"/>
              </w:rPr>
              <w:t>Business performance</w:t>
            </w:r>
          </w:p>
          <w:p>
            <w:pPr>
              <w:spacing w:before="0" w:after="60" w:line="252" w:lineRule="auto"/>
            </w:pPr>
            <w:r>
              <w:rPr>
                <w:rFonts w:ascii="Aptos" w:hAnsi="Aptos"/>
                <w:b w:val="0"/>
                <w:color w:val="607086"/>
                <w:sz w:val="16"/>
              </w:rPr>
              <w:t>• SQL Accounting export</w:t>
            </w:r>
          </w:p>
          <w:p>
            <w:pPr>
              <w:spacing w:before="0" w:after="60" w:line="252" w:lineRule="auto"/>
            </w:pPr>
            <w:r>
              <w:rPr>
                <w:rFonts w:ascii="Aptos" w:hAnsi="Aptos"/>
                <w:b w:val="0"/>
                <w:color w:val="607086"/>
                <w:sz w:val="16"/>
              </w:rPr>
              <w:t>• Reconcile bank vs accounting data</w:t>
            </w:r>
          </w:p>
          <w:p>
            <w:pPr>
              <w:spacing w:before="0" w:after="60" w:line="252" w:lineRule="auto"/>
            </w:pPr>
            <w:r>
              <w:rPr>
                <w:rFonts w:ascii="Aptos" w:hAnsi="Aptos"/>
                <w:b w:val="0"/>
                <w:color w:val="607086"/>
                <w:sz w:val="16"/>
              </w:rPr>
              <w:t>• P&amp;L, cash flow, AR/AP</w:t>
            </w:r>
          </w:p>
          <w:p>
            <w:pPr>
              <w:spacing w:before="0" w:after="60" w:line="252" w:lineRule="auto"/>
            </w:pPr>
            <w:r>
              <w:rPr>
                <w:rFonts w:ascii="Aptos" w:hAnsi="Aptos"/>
                <w:b w:val="0"/>
                <w:color w:val="607086"/>
                <w:sz w:val="16"/>
              </w:rPr>
              <w:t>• Founder weekly summary</w:t>
            </w:r>
          </w:p>
        </w:tc>
        <w:tc>
          <w:tcPr>
            <w:tcW w:type="dxa" w:w="3389"/>
            <w:shd w:fill="F7F9FC"/>
            <w:tcBorders>
              <w:top w:val="single" w:sz="8" w:color="DCE5F0"/>
              <w:left w:val="single" w:sz="8" w:color="DCE5F0"/>
              <w:bottom w:val="single" w:sz="8" w:color="DCE5F0"/>
              <w:right w:val="single" w:sz="8" w:color="DCE5F0"/>
            </w:tcBorders>
            <w:tcMar>
              <w:top w:w="140" w:type="dxa"/>
              <w:start w:w="140" w:type="dxa"/>
              <w:bottom w:w="140" w:type="dxa"/>
              <w:end w:w="140" w:type="dxa"/>
            </w:tcMar>
          </w:tcPr>
          <w:p>
            <w:pPr>
              <w:spacing w:before="0" w:after="40" w:line="240" w:lineRule="auto"/>
            </w:pPr>
            <w:r>
              <w:rPr>
                <w:rFonts w:ascii="Aptos" w:hAnsi="Aptos"/>
                <w:b/>
                <w:color w:val="0B1F3A"/>
                <w:sz w:val="17"/>
              </w:rPr>
              <w:t>MONTHLY</w:t>
            </w:r>
          </w:p>
          <w:p>
            <w:pPr>
              <w:spacing w:before="0" w:after="140" w:line="240" w:lineRule="auto"/>
            </w:pPr>
            <w:r>
              <w:rPr>
                <w:rFonts w:ascii="Aptos" w:hAnsi="Aptos"/>
                <w:b/>
                <w:color w:val="0B1F3A"/>
                <w:sz w:val="22"/>
              </w:rPr>
              <w:t>Management review</w:t>
            </w:r>
          </w:p>
          <w:p>
            <w:pPr>
              <w:spacing w:before="0" w:after="60" w:line="252" w:lineRule="auto"/>
            </w:pPr>
            <w:r>
              <w:rPr>
                <w:rFonts w:ascii="Aptos" w:hAnsi="Aptos"/>
                <w:b w:val="0"/>
                <w:color w:val="607086"/>
                <w:sz w:val="16"/>
              </w:rPr>
              <w:t>• Full reconciliation review</w:t>
            </w:r>
          </w:p>
          <w:p>
            <w:pPr>
              <w:spacing w:before="0" w:after="60" w:line="252" w:lineRule="auto"/>
            </w:pPr>
            <w:r>
              <w:rPr>
                <w:rFonts w:ascii="Aptos" w:hAnsi="Aptos"/>
                <w:b w:val="0"/>
                <w:color w:val="607086"/>
                <w:sz w:val="16"/>
              </w:rPr>
              <w:t>• Balance Sheet and P&amp;L</w:t>
            </w:r>
          </w:p>
          <w:p>
            <w:pPr>
              <w:spacing w:before="0" w:after="60" w:line="252" w:lineRule="auto"/>
            </w:pPr>
            <w:r>
              <w:rPr>
                <w:rFonts w:ascii="Aptos" w:hAnsi="Aptos"/>
                <w:b w:val="0"/>
                <w:color w:val="607086"/>
                <w:sz w:val="16"/>
              </w:rPr>
              <w:t>• Budget vs actual</w:t>
            </w:r>
          </w:p>
          <w:p>
            <w:pPr>
              <w:spacing w:before="0" w:after="60" w:line="252" w:lineRule="auto"/>
            </w:pPr>
            <w:r>
              <w:rPr>
                <w:rFonts w:ascii="Aptos" w:hAnsi="Aptos"/>
                <w:b w:val="0"/>
                <w:color w:val="607086"/>
                <w:sz w:val="16"/>
              </w:rPr>
              <w:t>• Management observations</w:t>
            </w:r>
          </w:p>
        </w:tc>
      </w:tr>
    </w:tbl>
    <w:p>
      <w:pPr>
        <w:keepNext/>
        <w:spacing w:before="100" w:after="160" w:line="240" w:lineRule="auto"/>
      </w:pPr>
      <w:r>
        <w:rPr>
          <w:rFonts w:ascii="Aptos" w:hAnsi="Aptos"/>
          <w:b/>
          <w:color w:val="0B1F3A"/>
          <w:sz w:val="30"/>
        </w:rPr>
        <w:t>Data principle</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155EEF"/>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System of record</w:t>
            </w:r>
          </w:p>
          <w:p>
            <w:pPr>
              <w:spacing w:before="0" w:after="0" w:line="276" w:lineRule="auto"/>
            </w:pPr>
            <w:r>
              <w:rPr>
                <w:rFonts w:ascii="Aptos" w:hAnsi="Aptos"/>
                <w:b w:val="0"/>
                <w:color w:val="607086"/>
                <w:sz w:val="19"/>
              </w:rPr>
              <w:t>SQL Accounting remains authoritative for accounting entries. AINNA should not silently rewrite accounting records. Exceptions, unmatched items and proposed classifications are surfaced for review and approval.</w:t>
            </w:r>
          </w:p>
        </w:tc>
      </w:tr>
    </w:tbl>
    <w:p>
      <w:r>
        <w:br w:type="page"/>
      </w:r>
    </w:p>
    <w:p>
      <w:pPr>
        <w:keepNext/>
        <w:spacing w:before="0" w:after="80" w:line="240" w:lineRule="auto"/>
      </w:pPr>
      <w:r>
        <w:rPr>
          <w:rFonts w:ascii="Aptos" w:hAnsi="Aptos"/>
          <w:b/>
          <w:color w:val="12B8A6"/>
          <w:sz w:val="17"/>
        </w:rPr>
        <w:t>03 — PHASE 1 POC SCOPE</w:t>
      </w:r>
    </w:p>
    <w:p>
      <w:pPr>
        <w:keepNext/>
        <w:spacing w:before="100" w:after="160" w:line="240" w:lineRule="auto"/>
      </w:pPr>
      <w:r>
        <w:rPr>
          <w:rFonts w:ascii="Aptos" w:hAnsi="Aptos"/>
          <w:b/>
          <w:color w:val="0B1F3A"/>
          <w:sz w:val="44"/>
        </w:rPr>
        <w:t>Prioritise the workflows with the highest management value.</w:t>
      </w:r>
    </w:p>
    <w:tbl>
      <w:tblPr>
        <w:tblW w:type="auto" w:w="0"/>
        <w:jc w:val="center"/>
        <w:tblLayout w:type="fixed"/>
        <w:tblLook w:firstColumn="1" w:firstRow="1" w:lastColumn="0" w:lastRow="0" w:noHBand="0" w:noVBand="1" w:val="04A0"/>
      </w:tblPr>
      <w:tblGrid>
        <w:gridCol w:w="5083"/>
        <w:gridCol w:w="5083"/>
      </w:tblGrid>
      <w:tr>
        <w:tc>
          <w:tcPr>
            <w:tcW w:type="dxa" w:w="864"/>
            <w:shd w:fill="155EE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01</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Bank Recompiler</w:t>
            </w:r>
          </w:p>
          <w:p>
            <w:pPr>
              <w:spacing w:before="0" w:after="0" w:line="259" w:lineRule="auto"/>
            </w:pPr>
            <w:r>
              <w:rPr>
                <w:rFonts w:ascii="Aptos" w:hAnsi="Aptos"/>
                <w:b w:val="0"/>
                <w:color w:val="607086"/>
                <w:sz w:val="17"/>
              </w:rPr>
              <w:t>Process supported bank-statement files into structured transaction data.</w:t>
            </w:r>
          </w:p>
        </w:tc>
      </w:tr>
    </w:tbl>
    <w:tbl>
      <w:tblPr>
        <w:tblW w:type="auto" w:w="0"/>
        <w:jc w:val="center"/>
        <w:tblLayout w:type="fixed"/>
        <w:tblLook w:firstColumn="1" w:firstRow="1" w:lastColumn="0" w:lastRow="0" w:noHBand="0" w:noVBand="1" w:val="04A0"/>
      </w:tblPr>
      <w:tblGrid>
        <w:gridCol w:w="5083"/>
        <w:gridCol w:w="5083"/>
      </w:tblGrid>
      <w:tr>
        <w:tc>
          <w:tcPr>
            <w:tcW w:type="dxa" w:w="864"/>
            <w:shd w:fill="12B8A6"/>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02</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SQL Accounting Import</w:t>
            </w:r>
          </w:p>
          <w:p>
            <w:pPr>
              <w:spacing w:before="0" w:after="0" w:line="259" w:lineRule="auto"/>
            </w:pPr>
            <w:r>
              <w:rPr>
                <w:rFonts w:ascii="Aptos" w:hAnsi="Aptos"/>
                <w:b w:val="0"/>
                <w:color w:val="607086"/>
                <w:sz w:val="17"/>
              </w:rPr>
              <w:t>Import agreed weekly exports from the existing accounting environment.</w:t>
            </w:r>
          </w:p>
        </w:tc>
      </w:tr>
    </w:tbl>
    <w:tbl>
      <w:tblPr>
        <w:tblW w:type="auto" w:w="0"/>
        <w:jc w:val="center"/>
        <w:tblLayout w:type="fixed"/>
        <w:tblLook w:firstColumn="1" w:firstRow="1" w:lastColumn="0" w:lastRow="0" w:noHBand="0" w:noVBand="1" w:val="04A0"/>
      </w:tblPr>
      <w:tblGrid>
        <w:gridCol w:w="5083"/>
        <w:gridCol w:w="5083"/>
      </w:tblGrid>
      <w:tr>
        <w:tc>
          <w:tcPr>
            <w:tcW w:type="dxa" w:w="864"/>
            <w:shd w:fill="155EE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03</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Reconciliation Engine</w:t>
            </w:r>
          </w:p>
          <w:p>
            <w:pPr>
              <w:spacing w:before="0" w:after="0" w:line="259" w:lineRule="auto"/>
            </w:pPr>
            <w:r>
              <w:rPr>
                <w:rFonts w:ascii="Aptos" w:hAnsi="Aptos"/>
                <w:b w:val="0"/>
                <w:color w:val="607086"/>
                <w:sz w:val="17"/>
              </w:rPr>
              <w:t>Match banking and accounting records; identify unmatched and duplicate items.</w:t>
            </w:r>
          </w:p>
        </w:tc>
      </w:tr>
    </w:tbl>
    <w:tbl>
      <w:tblPr>
        <w:tblW w:type="auto" w:w="0"/>
        <w:jc w:val="center"/>
        <w:tblLayout w:type="fixed"/>
        <w:tblLook w:firstColumn="1" w:firstRow="1" w:lastColumn="0" w:lastRow="0" w:noHBand="0" w:noVBand="1" w:val="04A0"/>
      </w:tblPr>
      <w:tblGrid>
        <w:gridCol w:w="5083"/>
        <w:gridCol w:w="5083"/>
      </w:tblGrid>
      <w:tr>
        <w:tc>
          <w:tcPr>
            <w:tcW w:type="dxa" w:w="864"/>
            <w:shd w:fill="12B8A6"/>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04</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Finance Management View</w:t>
            </w:r>
          </w:p>
          <w:p>
            <w:pPr>
              <w:spacing w:before="0" w:after="0" w:line="259" w:lineRule="auto"/>
            </w:pPr>
            <w:r>
              <w:rPr>
                <w:rFonts w:ascii="Aptos" w:hAnsi="Aptos"/>
                <w:b w:val="0"/>
                <w:color w:val="607086"/>
                <w:sz w:val="17"/>
              </w:rPr>
              <w:t>Present P&amp;L, Balance Sheet, cash flow, AR/AP and selected variance information based on validated data.</w:t>
            </w:r>
          </w:p>
        </w:tc>
      </w:tr>
    </w:tbl>
    <w:tbl>
      <w:tblPr>
        <w:tblW w:type="auto" w:w="0"/>
        <w:jc w:val="center"/>
        <w:tblLayout w:type="fixed"/>
        <w:tblLook w:firstColumn="1" w:firstRow="1" w:lastColumn="0" w:lastRow="0" w:noHBand="0" w:noVBand="1" w:val="04A0"/>
      </w:tblPr>
      <w:tblGrid>
        <w:gridCol w:w="5083"/>
        <w:gridCol w:w="5083"/>
      </w:tblGrid>
      <w:tr>
        <w:tc>
          <w:tcPr>
            <w:tcW w:type="dxa" w:w="864"/>
            <w:shd w:fill="155EE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05</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Admin Operations View</w:t>
            </w:r>
          </w:p>
          <w:p>
            <w:pPr>
              <w:spacing w:before="0" w:after="0" w:line="259" w:lineRule="auto"/>
            </w:pPr>
            <w:r>
              <w:rPr>
                <w:rFonts w:ascii="Aptos" w:hAnsi="Aptos"/>
                <w:b w:val="0"/>
                <w:color w:val="607086"/>
                <w:sz w:val="17"/>
              </w:rPr>
              <w:t>Provide upload, reconciliation, exception and approval visibility for authorised finance users.</w:t>
            </w:r>
          </w:p>
        </w:tc>
      </w:tr>
    </w:tbl>
    <w:tbl>
      <w:tblPr>
        <w:tblW w:type="auto" w:w="0"/>
        <w:jc w:val="center"/>
        <w:tblLayout w:type="fixed"/>
        <w:tblLook w:firstColumn="1" w:firstRow="1" w:lastColumn="0" w:lastRow="0" w:noHBand="0" w:noVBand="1" w:val="04A0"/>
      </w:tblPr>
      <w:tblGrid>
        <w:gridCol w:w="5083"/>
        <w:gridCol w:w="5083"/>
      </w:tblGrid>
      <w:tr>
        <w:tc>
          <w:tcPr>
            <w:tcW w:type="dxa" w:w="864"/>
            <w:shd w:fill="12B8A6"/>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06</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Founder Command Centre</w:t>
            </w:r>
          </w:p>
          <w:p>
            <w:pPr>
              <w:spacing w:before="0" w:after="0" w:line="259" w:lineRule="auto"/>
            </w:pPr>
            <w:r>
              <w:rPr>
                <w:rFonts w:ascii="Aptos" w:hAnsi="Aptos"/>
                <w:b w:val="0"/>
                <w:color w:val="607086"/>
                <w:sz w:val="17"/>
              </w:rPr>
              <w:t>Provide simplified management KPIs, alerts, outstanding items and executive financial summaries.</w:t>
            </w:r>
          </w:p>
        </w:tc>
      </w:tr>
    </w:tbl>
    <w:tbl>
      <w:tblPr>
        <w:tblW w:type="auto" w:w="0"/>
        <w:jc w:val="center"/>
        <w:tblLayout w:type="fixed"/>
        <w:tblLook w:firstColumn="1" w:firstRow="1" w:lastColumn="0" w:lastRow="0" w:noHBand="0" w:noVBand="1" w:val="04A0"/>
      </w:tblPr>
      <w:tblGrid>
        <w:gridCol w:w="5083"/>
        <w:gridCol w:w="5083"/>
      </w:tblGrid>
      <w:tr>
        <w:tc>
          <w:tcPr>
            <w:tcW w:type="dxa" w:w="864"/>
            <w:shd w:fill="155EE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0" w:line="240" w:lineRule="auto"/>
              <w:jc w:val="center"/>
            </w:pPr>
            <w:r>
              <w:rPr>
                <w:rFonts w:ascii="Aptos" w:hAnsi="Aptos"/>
                <w:b/>
                <w:color w:val="FFFFFF"/>
                <w:sz w:val="18"/>
              </w:rPr>
              <w:t>07</w:t>
            </w:r>
          </w:p>
        </w:tc>
        <w:tc>
          <w:tcPr>
            <w:tcW w:type="dxa" w:w="8784"/>
            <w:shd w:fill="FFFFFF"/>
            <w:tcBorders>
              <w:top w:val="single" w:sz="7" w:color="DCE5F0"/>
              <w:left w:val="single" w:sz="7" w:color="DCE5F0"/>
              <w:bottom w:val="single" w:sz="7" w:color="DCE5F0"/>
              <w:right w:val="single" w:sz="7" w:color="DCE5F0"/>
            </w:tcBorders>
            <w:tcMar>
              <w:top w:w="100" w:type="dxa"/>
              <w:start w:w="120" w:type="dxa"/>
              <w:bottom w:w="100" w:type="dxa"/>
              <w:end w:w="120" w:type="dxa"/>
            </w:tcMar>
          </w:tcPr>
          <w:p>
            <w:pPr>
              <w:spacing w:before="0" w:after="40" w:line="240" w:lineRule="auto"/>
            </w:pPr>
            <w:r>
              <w:rPr>
                <w:rFonts w:ascii="Aptos" w:hAnsi="Aptos"/>
                <w:b/>
                <w:color w:val="0B1F3A"/>
                <w:sz w:val="20"/>
              </w:rPr>
              <w:t>NeuralOps AI Layer</w:t>
            </w:r>
          </w:p>
          <w:p>
            <w:pPr>
              <w:spacing w:before="0" w:after="0" w:line="259" w:lineRule="auto"/>
            </w:pPr>
            <w:r>
              <w:rPr>
                <w:rFonts w:ascii="Aptos" w:hAnsi="Aptos"/>
                <w:b w:val="0"/>
                <w:color w:val="607086"/>
                <w:sz w:val="17"/>
              </w:rPr>
              <w:t>Support financial trend analysis, automatic analysis, budget variance analysis and an AI Finance Assistant against approved/validated data.</w:t>
            </w:r>
          </w:p>
        </w:tc>
      </w:tr>
    </w:tbl>
    <w:p>
      <w:pPr>
        <w:keepNext/>
        <w:spacing w:before="100" w:after="160" w:line="240" w:lineRule="auto"/>
      </w:pPr>
      <w:r>
        <w:rPr>
          <w:rFonts w:ascii="Aptos" w:hAnsi="Aptos"/>
          <w:b/>
          <w:color w:val="0B1F3A"/>
          <w:sz w:val="30"/>
        </w:rPr>
        <w:t>Controls requested by Zar Lynx</w:t>
      </w:r>
    </w:p>
    <w:tbl>
      <w:tblPr>
        <w:tblW w:type="auto" w:w="0"/>
        <w:jc w:val="left"/>
        <w:tblLayout w:type="autofit"/>
        <w:tblLook w:firstColumn="1" w:firstRow="1" w:lastColumn="0" w:lastRow="0" w:noHBand="0" w:noVBand="1" w:val="04A0"/>
      </w:tblPr>
      <w:tblGrid>
        <w:gridCol w:w="2541"/>
        <w:gridCol w:w="2541"/>
        <w:gridCol w:w="2541"/>
        <w:gridCol w:w="2541"/>
      </w:tblGrid>
      <w:tr>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Maker / Checker</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Payment Approval</w:t>
            </w:r>
          </w:p>
        </w:tc>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Supporting Documents</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Role-Based Access</w:t>
            </w:r>
          </w:p>
        </w:tc>
      </w:tr>
    </w:tbl>
    <w:tbl>
      <w:tblPr>
        <w:tblW w:type="auto" w:w="0"/>
        <w:jc w:val="left"/>
        <w:tblLayout w:type="autofit"/>
        <w:tblLook w:firstColumn="1" w:firstRow="1" w:lastColumn="0" w:lastRow="0" w:noHBand="0" w:noVBand="1" w:val="04A0"/>
      </w:tblPr>
      <w:tblGrid>
        <w:gridCol w:w="2541"/>
        <w:gridCol w:w="2541"/>
        <w:gridCol w:w="2541"/>
        <w:gridCol w:w="2541"/>
      </w:tblGrid>
      <w:tr>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Transaction Approval</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Expense Approval</w:t>
            </w:r>
          </w:p>
        </w:tc>
        <w:tc>
          <w:tcPr>
            <w:tcW w:type="dxa" w:w="2541"/>
            <w:shd w:fill="EFF5FF"/>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55EEF"/>
                <w:sz w:val="17"/>
              </w:rPr>
              <w:t>Audit Trail</w:t>
            </w:r>
          </w:p>
        </w:tc>
        <w:tc>
          <w:tcPr>
            <w:tcW w:type="dxa" w:w="2541"/>
            <w:shd w:fill="ECFBF8"/>
            <w:tcBorders>
              <w:top w:val="single" w:sz="6" w:color="DCE5F0"/>
              <w:left w:val="single" w:sz="6" w:color="DCE5F0"/>
              <w:bottom w:val="single" w:sz="6" w:color="DCE5F0"/>
              <w:right w:val="single" w:sz="6" w:color="DCE5F0"/>
            </w:tcBorders>
            <w:tcMar>
              <w:top w:w="80" w:type="dxa"/>
              <w:start w:w="90" w:type="dxa"/>
              <w:bottom w:w="80" w:type="dxa"/>
              <w:end w:w="90" w:type="dxa"/>
            </w:tcMar>
          </w:tcPr>
          <w:p>
            <w:pPr>
              <w:spacing w:before="0" w:after="0" w:line="240" w:lineRule="auto"/>
              <w:jc w:val="center"/>
            </w:pPr>
            <w:r>
              <w:rPr>
                <w:rFonts w:ascii="Aptos" w:hAnsi="Aptos"/>
                <w:b/>
                <w:color w:val="12B8A6"/>
                <w:sz w:val="17"/>
              </w:rPr>
              <w:t>Management Dashboard</w:t>
            </w:r>
          </w:p>
        </w:tc>
      </w:tr>
    </w:tbl>
    <w:p>
      <w:pPr>
        <w:spacing w:before="0" w:after="0" w:line="283" w:lineRule="auto"/>
      </w:pPr>
      <w:r>
        <w:rPr>
          <w:rFonts w:ascii="Aptos" w:hAnsi="Aptos"/>
          <w:b w:val="0"/>
          <w:color w:val="607086"/>
          <w:sz w:val="18"/>
        </w:rPr>
        <w:t>Compliance note: The survey references MFRS, SST/GST records, LHDN e-Invoicing, CP204, annual tax returns and audited financial statements. These are important design constraints, but they should not be represented as fully automated POC deliverables unless explicitly scoped and validated.</w:t>
      </w:r>
    </w:p>
    <w:p>
      <w:r>
        <w:br w:type="page"/>
      </w:r>
    </w:p>
    <w:p>
      <w:pPr>
        <w:keepNext/>
        <w:spacing w:before="0" w:after="80" w:line="240" w:lineRule="auto"/>
      </w:pPr>
      <w:r>
        <w:rPr>
          <w:rFonts w:ascii="Aptos" w:hAnsi="Aptos"/>
          <w:b/>
          <w:color w:val="12B8A6"/>
          <w:sz w:val="17"/>
        </w:rPr>
        <w:t>04 — FOUNDER MOBILE EXPERIENCE</w:t>
      </w:r>
    </w:p>
    <w:p>
      <w:pPr>
        <w:keepNext/>
        <w:spacing w:before="100" w:after="160" w:line="240" w:lineRule="auto"/>
      </w:pPr>
      <w:r>
        <w:rPr>
          <w:rFonts w:ascii="Aptos" w:hAnsi="Aptos"/>
          <w:b/>
          <w:color w:val="0B1F3A"/>
          <w:sz w:val="44"/>
        </w:rPr>
        <w:t>Founder Financial Command Centre</w:t>
      </w:r>
    </w:p>
    <w:p>
      <w:pPr>
        <w:spacing w:before="0" w:after="120" w:line="283" w:lineRule="auto"/>
      </w:pPr>
      <w:r>
        <w:rPr>
          <w:rFonts w:ascii="Aptos" w:hAnsi="Aptos"/>
          <w:b w:val="0"/>
          <w:color w:val="607086"/>
          <w:sz w:val="21"/>
        </w:rPr>
        <w:t>The Founder view should answer management questions quickly without requiring the user to navigate accounting ledgers. Zar Lynx requested full access, mobile access, email reports and a monthly summary, with visibility into revenue, outstanding supplier/customer payments, expenses, P&amp;L, debt/loans, cash position and bank balance.</w:t>
      </w:r>
    </w:p>
    <w:p>
      <w:pPr>
        <w:spacing w:before="80" w:after="100" w:line="240" w:lineRule="auto"/>
        <w:jc w:val="center"/>
      </w:pPr>
      <w:r>
        <w:drawing>
          <wp:inline xmlns:a="http://schemas.openxmlformats.org/drawingml/2006/main" xmlns:pic="http://schemas.openxmlformats.org/drawingml/2006/picture">
            <wp:extent cx="3113472" cy="5532120"/>
            <wp:docPr id="1" name="Picture 1"/>
            <wp:cNvGraphicFramePr>
              <a:graphicFrameLocks noChangeAspect="1"/>
            </wp:cNvGraphicFramePr>
            <a:graphic>
              <a:graphicData uri="http://schemas.openxmlformats.org/drawingml/2006/picture">
                <pic:pic>
                  <pic:nvPicPr>
                    <pic:cNvPr id="0" name="zar_lynx_founder_dashboard.png"/>
                    <pic:cNvPicPr/>
                  </pic:nvPicPr>
                  <pic:blipFill>
                    <a:blip r:embed="rId11"/>
                    <a:stretch>
                      <a:fillRect/>
                    </a:stretch>
                  </pic:blipFill>
                  <pic:spPr>
                    <a:xfrm>
                      <a:off x="0" y="0"/>
                      <a:ext cx="3113472" cy="5532120"/>
                    </a:xfrm>
                    <a:prstGeom prst="rect"/>
                  </pic:spPr>
                </pic:pic>
              </a:graphicData>
            </a:graphic>
          </wp:inline>
        </w:drawing>
      </w:r>
    </w:p>
    <w:p>
      <w:pPr>
        <w:spacing w:before="0" w:after="100" w:line="240" w:lineRule="auto"/>
        <w:jc w:val="center"/>
      </w:pPr>
      <w:r>
        <w:rPr>
          <w:rFonts w:ascii="Aptos" w:hAnsi="Aptos"/>
          <w:b w:val="0"/>
          <w:color w:val="607086"/>
          <w:sz w:val="16"/>
        </w:rPr>
        <w:t>Illustrative mobile POC concept — dummy values shown for visual demonstration only.</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12B8A6"/>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Founder priority</w:t>
            </w:r>
          </w:p>
          <w:p>
            <w:pPr>
              <w:spacing w:before="0" w:after="0" w:line="276" w:lineRule="auto"/>
            </w:pPr>
            <w:r>
              <w:rPr>
                <w:rFonts w:ascii="Aptos" w:hAnsi="Aptos"/>
                <w:b w:val="0"/>
                <w:color w:val="607086"/>
                <w:sz w:val="19"/>
              </w:rPr>
              <w:t>Daily clarity on cash and outstanding commitments; weekly clarity on performance; monthly clarity on the overall financial position and management actions.</w:t>
            </w:r>
          </w:p>
        </w:tc>
      </w:tr>
    </w:tbl>
    <w:p>
      <w:r>
        <w:br w:type="page"/>
      </w:r>
    </w:p>
    <w:p>
      <w:pPr>
        <w:keepNext/>
        <w:spacing w:before="0" w:after="80" w:line="240" w:lineRule="auto"/>
      </w:pPr>
      <w:r>
        <w:rPr>
          <w:rFonts w:ascii="Aptos" w:hAnsi="Aptos"/>
          <w:b/>
          <w:color w:val="12B8A6"/>
          <w:sz w:val="17"/>
        </w:rPr>
        <w:t>05 — ADMIN / FINANCE MOBILE EXPERIENCE</w:t>
      </w:r>
    </w:p>
    <w:p>
      <w:pPr>
        <w:keepNext/>
        <w:spacing w:before="100" w:after="160" w:line="240" w:lineRule="auto"/>
      </w:pPr>
      <w:r>
        <w:rPr>
          <w:rFonts w:ascii="Aptos" w:hAnsi="Aptos"/>
          <w:b/>
          <w:color w:val="0B1F3A"/>
          <w:sz w:val="44"/>
        </w:rPr>
        <w:t>Operations, reconciliation and exceptions</w:t>
      </w:r>
    </w:p>
    <w:p>
      <w:pPr>
        <w:spacing w:before="0" w:after="120" w:line="283" w:lineRule="auto"/>
      </w:pPr>
      <w:r>
        <w:rPr>
          <w:rFonts w:ascii="Aptos" w:hAnsi="Aptos"/>
          <w:b w:val="0"/>
          <w:color w:val="607086"/>
          <w:sz w:val="21"/>
        </w:rPr>
        <w:t>The finance/admin view is operational rather than executive. It should make uploads, matching, reconciliation status, approvals and exceptions visible in one place, allowing the team to focus on transactions that require attention.</w:t>
      </w:r>
    </w:p>
    <w:p>
      <w:pPr>
        <w:spacing w:before="80" w:after="100" w:line="240" w:lineRule="auto"/>
        <w:jc w:val="center"/>
      </w:pPr>
      <w:r>
        <w:drawing>
          <wp:inline xmlns:a="http://schemas.openxmlformats.org/drawingml/2006/main" xmlns:pic="http://schemas.openxmlformats.org/drawingml/2006/picture">
            <wp:extent cx="3113472" cy="5532120"/>
            <wp:docPr id="2" name="Picture 2"/>
            <wp:cNvGraphicFramePr>
              <a:graphicFrameLocks noChangeAspect="1"/>
            </wp:cNvGraphicFramePr>
            <a:graphic>
              <a:graphicData uri="http://schemas.openxmlformats.org/drawingml/2006/picture">
                <pic:pic>
                  <pic:nvPicPr>
                    <pic:cNvPr id="0" name="zar_lynx_finops_dashboard.png"/>
                    <pic:cNvPicPr/>
                  </pic:nvPicPr>
                  <pic:blipFill>
                    <a:blip r:embed="rId12"/>
                    <a:stretch>
                      <a:fillRect/>
                    </a:stretch>
                  </pic:blipFill>
                  <pic:spPr>
                    <a:xfrm>
                      <a:off x="0" y="0"/>
                      <a:ext cx="3113472" cy="5532120"/>
                    </a:xfrm>
                    <a:prstGeom prst="rect"/>
                  </pic:spPr>
                </pic:pic>
              </a:graphicData>
            </a:graphic>
          </wp:inline>
        </w:drawing>
      </w:r>
    </w:p>
    <w:p>
      <w:pPr>
        <w:spacing w:before="0" w:after="100" w:line="240" w:lineRule="auto"/>
        <w:jc w:val="center"/>
      </w:pPr>
      <w:r>
        <w:rPr>
          <w:rFonts w:ascii="Aptos" w:hAnsi="Aptos"/>
          <w:b w:val="0"/>
          <w:color w:val="607086"/>
          <w:sz w:val="16"/>
        </w:rPr>
        <w:t>Illustrative mobile POC concept — dummy values shown for visual demonstration only.</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155EEF"/>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Operational principle</w:t>
            </w:r>
          </w:p>
          <w:p>
            <w:pPr>
              <w:spacing w:before="0" w:after="0" w:line="276" w:lineRule="auto"/>
            </w:pPr>
            <w:r>
              <w:rPr>
                <w:rFonts w:ascii="Aptos" w:hAnsi="Aptos"/>
                <w:b w:val="0"/>
                <w:color w:val="607086"/>
                <w:sz w:val="19"/>
              </w:rPr>
              <w:t>Automate the repetitive checks; escalate the exceptions. Human review remains important for approvals, unmatched transactions and accounting judgement.</w:t>
            </w:r>
          </w:p>
        </w:tc>
      </w:tr>
    </w:tbl>
    <w:p>
      <w:r>
        <w:br w:type="page"/>
      </w:r>
    </w:p>
    <w:p>
      <w:pPr>
        <w:keepNext/>
        <w:spacing w:before="0" w:after="80" w:line="240" w:lineRule="auto"/>
      </w:pPr>
      <w:r>
        <w:rPr>
          <w:rFonts w:ascii="Aptos" w:hAnsi="Aptos"/>
          <w:b/>
          <w:color w:val="12B8A6"/>
          <w:sz w:val="17"/>
        </w:rPr>
        <w:t>06 — NEURALOPS FINANCE INTELLIGENCE</w:t>
      </w:r>
    </w:p>
    <w:p>
      <w:pPr>
        <w:keepNext/>
        <w:spacing w:before="100" w:after="160" w:line="240" w:lineRule="auto"/>
      </w:pPr>
      <w:r>
        <w:rPr>
          <w:rFonts w:ascii="Aptos" w:hAnsi="Aptos"/>
          <w:b/>
          <w:color w:val="0B1F3A"/>
          <w:sz w:val="44"/>
        </w:rPr>
        <w:t>AI should explain validated finance data — not invent it.</w:t>
      </w:r>
    </w:p>
    <w:p>
      <w:pPr>
        <w:spacing w:before="0" w:after="120" w:line="283" w:lineRule="auto"/>
      </w:pPr>
      <w:r>
        <w:rPr>
          <w:rFonts w:ascii="Aptos" w:hAnsi="Aptos"/>
          <w:b w:val="0"/>
          <w:color w:val="607086"/>
          <w:sz w:val="21"/>
        </w:rPr>
        <w:t>Zar Lynx selected four AI capabilities: AI Finance Assistant, Automatic Financial Analysis, Financial Trend Analysis and Budget Variance Analysis. The proposed NeuralOps layer should operate on approved or validated finance datasets and retain clear separation between source records, calculated outputs and AI-generated interpretation.</w:t>
      </w:r>
    </w:p>
    <w:tbl>
      <w:tblPr>
        <w:tblW w:type="auto" w:w="0"/>
        <w:jc w:val="center"/>
        <w:tblLayout w:type="fixed"/>
        <w:tblLook w:firstColumn="1" w:firstRow="1" w:lastColumn="0" w:lastRow="0" w:noHBand="0" w:noVBand="1" w:val="04A0"/>
      </w:tblPr>
      <w:tblGrid>
        <w:gridCol w:w="5083"/>
        <w:gridCol w:w="5083"/>
      </w:tblGrid>
      <w:tr>
        <w:tc>
          <w:tcPr>
            <w:tcW w:type="dxa" w:w="5083"/>
            <w:shd w:fill="EFF5FF"/>
            <w:tcBorders>
              <w:top w:val="single" w:sz="8" w:color="DCE5F0"/>
              <w:left w:val="single" w:sz="8" w:color="DCE5F0"/>
              <w:bottom w:val="single" w:sz="8" w:color="DCE5F0"/>
              <w:right w:val="single" w:sz="8" w:color="DCE5F0"/>
            </w:tcBorders>
            <w:tcMar>
              <w:top w:w="160" w:type="dxa"/>
              <w:start w:w="160" w:type="dxa"/>
              <w:bottom w:w="160" w:type="dxa"/>
              <w:end w:w="160" w:type="dxa"/>
            </w:tcMar>
          </w:tcPr>
          <w:p>
            <w:pPr>
              <w:spacing w:before="0" w:after="100" w:line="240" w:lineRule="auto"/>
            </w:pPr>
            <w:r>
              <w:rPr>
                <w:rFonts w:ascii="Aptos" w:hAnsi="Aptos"/>
                <w:b/>
                <w:color w:val="0B1F3A"/>
                <w:sz w:val="21"/>
              </w:rPr>
              <w:t>AI Finance Assistant</w:t>
            </w:r>
          </w:p>
          <w:p>
            <w:pPr>
              <w:spacing w:before="0" w:after="0" w:line="264" w:lineRule="auto"/>
            </w:pPr>
            <w:r>
              <w:rPr>
                <w:rFonts w:ascii="Aptos" w:hAnsi="Aptos"/>
                <w:b w:val="0"/>
                <w:color w:val="607086"/>
                <w:sz w:val="17"/>
              </w:rPr>
              <w:t>Natural-language questions over approved finance data, with answers tied to the available reporting scope.</w:t>
            </w:r>
          </w:p>
        </w:tc>
        <w:tc>
          <w:tcPr>
            <w:tcW w:type="dxa" w:w="5083"/>
            <w:shd w:fill="ECFBF8"/>
            <w:tcBorders>
              <w:top w:val="single" w:sz="8" w:color="DCE5F0"/>
              <w:left w:val="single" w:sz="8" w:color="DCE5F0"/>
              <w:bottom w:val="single" w:sz="8" w:color="DCE5F0"/>
              <w:right w:val="single" w:sz="8" w:color="DCE5F0"/>
            </w:tcBorders>
            <w:tcMar>
              <w:top w:w="160" w:type="dxa"/>
              <w:start w:w="160" w:type="dxa"/>
              <w:bottom w:w="160" w:type="dxa"/>
              <w:end w:w="160" w:type="dxa"/>
            </w:tcMar>
          </w:tcPr>
          <w:p>
            <w:pPr>
              <w:spacing w:before="0" w:after="100" w:line="240" w:lineRule="auto"/>
            </w:pPr>
            <w:r>
              <w:rPr>
                <w:rFonts w:ascii="Aptos" w:hAnsi="Aptos"/>
                <w:b/>
                <w:color w:val="0B1F3A"/>
                <w:sz w:val="21"/>
              </w:rPr>
              <w:t>Automatic Financial Analysis</w:t>
            </w:r>
          </w:p>
          <w:p>
            <w:pPr>
              <w:spacing w:before="0" w:after="0" w:line="264" w:lineRule="auto"/>
            </w:pPr>
            <w:r>
              <w:rPr>
                <w:rFonts w:ascii="Aptos" w:hAnsi="Aptos"/>
                <w:b w:val="0"/>
                <w:color w:val="607086"/>
                <w:sz w:val="17"/>
              </w:rPr>
              <w:t>Generate concise management observations and highlight material changes that warrant review.</w:t>
            </w:r>
          </w:p>
        </w:tc>
      </w:tr>
      <w:tr>
        <w:tc>
          <w:tcPr>
            <w:tcW w:type="dxa" w:w="5083"/>
            <w:shd w:fill="EFF5FF"/>
            <w:tcBorders>
              <w:top w:val="single" w:sz="8" w:color="DCE5F0"/>
              <w:left w:val="single" w:sz="8" w:color="DCE5F0"/>
              <w:bottom w:val="single" w:sz="8" w:color="DCE5F0"/>
              <w:right w:val="single" w:sz="8" w:color="DCE5F0"/>
            </w:tcBorders>
            <w:tcMar>
              <w:top w:w="160" w:type="dxa"/>
              <w:start w:w="160" w:type="dxa"/>
              <w:bottom w:w="160" w:type="dxa"/>
              <w:end w:w="160" w:type="dxa"/>
            </w:tcMar>
          </w:tcPr>
          <w:p>
            <w:pPr>
              <w:spacing w:before="0" w:after="100" w:line="240" w:lineRule="auto"/>
            </w:pPr>
            <w:r>
              <w:rPr>
                <w:rFonts w:ascii="Aptos" w:hAnsi="Aptos"/>
                <w:b/>
                <w:color w:val="0B1F3A"/>
                <w:sz w:val="21"/>
              </w:rPr>
              <w:t>Financial Trend Analysis</w:t>
            </w:r>
          </w:p>
          <w:p>
            <w:pPr>
              <w:spacing w:before="0" w:after="0" w:line="264" w:lineRule="auto"/>
            </w:pPr>
            <w:r>
              <w:rPr>
                <w:rFonts w:ascii="Aptos" w:hAnsi="Aptos"/>
                <w:b w:val="0"/>
                <w:color w:val="607086"/>
                <w:sz w:val="17"/>
              </w:rPr>
              <w:t>Compare revenue, expenses, collections, payments, cash position and other agreed indicators over time.</w:t>
            </w:r>
          </w:p>
        </w:tc>
        <w:tc>
          <w:tcPr>
            <w:tcW w:type="dxa" w:w="5083"/>
            <w:shd w:fill="ECFBF8"/>
            <w:tcBorders>
              <w:top w:val="single" w:sz="8" w:color="DCE5F0"/>
              <w:left w:val="single" w:sz="8" w:color="DCE5F0"/>
              <w:bottom w:val="single" w:sz="8" w:color="DCE5F0"/>
              <w:right w:val="single" w:sz="8" w:color="DCE5F0"/>
            </w:tcBorders>
            <w:tcMar>
              <w:top w:w="160" w:type="dxa"/>
              <w:start w:w="160" w:type="dxa"/>
              <w:bottom w:w="160" w:type="dxa"/>
              <w:end w:w="160" w:type="dxa"/>
            </w:tcMar>
          </w:tcPr>
          <w:p>
            <w:pPr>
              <w:spacing w:before="0" w:after="100" w:line="240" w:lineRule="auto"/>
            </w:pPr>
            <w:r>
              <w:rPr>
                <w:rFonts w:ascii="Aptos" w:hAnsi="Aptos"/>
                <w:b/>
                <w:color w:val="0B1F3A"/>
                <w:sz w:val="21"/>
              </w:rPr>
              <w:t>Budget Variance Analysis</w:t>
            </w:r>
          </w:p>
          <w:p>
            <w:pPr>
              <w:spacing w:before="0" w:after="0" w:line="264" w:lineRule="auto"/>
            </w:pPr>
            <w:r>
              <w:rPr>
                <w:rFonts w:ascii="Aptos" w:hAnsi="Aptos"/>
                <w:b w:val="0"/>
                <w:color w:val="607086"/>
                <w:sz w:val="17"/>
              </w:rPr>
              <w:t>Compare actual performance against budget and flag material deviations.</w:t>
            </w:r>
          </w:p>
        </w:tc>
      </w:tr>
    </w:tbl>
    <w:p>
      <w:pPr>
        <w:keepNext/>
        <w:spacing w:before="100" w:after="160" w:line="240" w:lineRule="auto"/>
      </w:pPr>
      <w:r>
        <w:rPr>
          <w:rFonts w:ascii="Aptos" w:hAnsi="Aptos"/>
          <w:b/>
          <w:color w:val="0B1F3A"/>
          <w:sz w:val="30"/>
        </w:rPr>
        <w:t>Guardrails for the POC</w:t>
      </w:r>
    </w:p>
    <w:p>
      <w:pPr>
        <w:pStyle w:val="ListBullet"/>
        <w:spacing w:before="0" w:after="60" w:line="269" w:lineRule="auto"/>
        <w:ind w:left="317" w:hanging="173"/>
      </w:pPr>
      <w:r>
        <w:rPr>
          <w:rFonts w:ascii="Aptos" w:hAnsi="Aptos"/>
          <w:color w:val="607086"/>
          <w:sz w:val="20"/>
        </w:rPr>
        <w:t>SQL Accounting remains the accounting system of record.</w:t>
      </w:r>
    </w:p>
    <w:p>
      <w:pPr>
        <w:pStyle w:val="ListBullet"/>
        <w:spacing w:before="0" w:after="60" w:line="269" w:lineRule="auto"/>
        <w:ind w:left="317" w:hanging="173"/>
      </w:pPr>
      <w:r>
        <w:rPr>
          <w:rFonts w:ascii="Aptos" w:hAnsi="Aptos"/>
          <w:color w:val="607086"/>
          <w:sz w:val="20"/>
        </w:rPr>
        <w:t>AI analysis is generated only after agreed validation/reconciliation steps.</w:t>
      </w:r>
    </w:p>
    <w:p>
      <w:pPr>
        <w:pStyle w:val="ListBullet"/>
        <w:spacing w:before="0" w:after="60" w:line="269" w:lineRule="auto"/>
        <w:ind w:left="317" w:hanging="173"/>
      </w:pPr>
      <w:r>
        <w:rPr>
          <w:rFonts w:ascii="Aptos" w:hAnsi="Aptos"/>
          <w:color w:val="607086"/>
          <w:sz w:val="20"/>
        </w:rPr>
        <w:t>Low-confidence or unmatched items are shown as exceptions instead of being silently posted.</w:t>
      </w:r>
    </w:p>
    <w:p>
      <w:pPr>
        <w:pStyle w:val="ListBullet"/>
        <w:spacing w:before="0" w:after="60" w:line="269" w:lineRule="auto"/>
        <w:ind w:left="317" w:hanging="173"/>
      </w:pPr>
      <w:r>
        <w:rPr>
          <w:rFonts w:ascii="Aptos" w:hAnsi="Aptos"/>
          <w:color w:val="607086"/>
          <w:sz w:val="20"/>
        </w:rPr>
        <w:t>Maker/Checker and role-based access should control sensitive actions.</w:t>
      </w:r>
    </w:p>
    <w:p>
      <w:pPr>
        <w:pStyle w:val="ListBullet"/>
        <w:spacing w:before="0" w:after="60" w:line="269" w:lineRule="auto"/>
        <w:ind w:left="317" w:hanging="173"/>
      </w:pPr>
      <w:r>
        <w:rPr>
          <w:rFonts w:ascii="Aptos" w:hAnsi="Aptos"/>
          <w:color w:val="607086"/>
          <w:sz w:val="20"/>
        </w:rPr>
        <w:t>Audit trail should preserve who uploaded, reviewed, approved or changed a decision.</w:t>
      </w:r>
    </w:p>
    <w:p>
      <w:pPr>
        <w:keepNext/>
        <w:spacing w:before="100" w:after="160" w:line="240" w:lineRule="auto"/>
      </w:pPr>
      <w:r>
        <w:rPr>
          <w:rFonts w:ascii="Aptos" w:hAnsi="Aptos"/>
          <w:b/>
          <w:color w:val="0B1F3A"/>
          <w:sz w:val="30"/>
        </w:rPr>
        <w:t>Example Founder questions</w:t>
      </w:r>
    </w:p>
    <w:tbl>
      <w:tblPr>
        <w:tblW w:type="auto" w:w="0"/>
        <w:jc w:val="center"/>
        <w:tblLook w:firstColumn="1" w:firstRow="1" w:lastColumn="0" w:lastRow="0" w:noHBand="0" w:noVBand="1" w:val="04A0"/>
      </w:tblPr>
      <w:tblGrid>
        <w:gridCol w:w="5083"/>
        <w:gridCol w:w="5083"/>
      </w:tblGrid>
      <w:tr>
        <w:tc>
          <w:tcPr>
            <w:tcW w:type="dxa" w:w="5083"/>
            <w:shd w:fill="F7F9FC"/>
            <w:tcBorders>
              <w:top w:val="single" w:sz="7" w:color="DCE5F0"/>
              <w:left w:val="single" w:sz="7" w:color="DCE5F0"/>
              <w:bottom w:val="single" w:sz="7" w:color="DCE5F0"/>
              <w:right w:val="single" w:sz="7" w:color="DCE5F0"/>
            </w:tcBorders>
            <w:tcMar>
              <w:top w:w="130" w:type="dxa"/>
              <w:start w:w="130" w:type="dxa"/>
              <w:bottom w:w="130" w:type="dxa"/>
              <w:end w:w="130" w:type="dxa"/>
            </w:tcMar>
          </w:tcPr>
          <w:p>
            <w:pPr>
              <w:spacing w:before="0" w:after="0" w:line="240" w:lineRule="auto"/>
              <w:jc w:val="center"/>
            </w:pPr>
            <w:r>
              <w:rPr>
                <w:rFonts w:ascii="Aptos" w:hAnsi="Aptos"/>
                <w:b/>
                <w:color w:val="155EEF"/>
                <w:sz w:val="19"/>
              </w:rPr>
              <w:t>“What changed this week?”</w:t>
            </w:r>
          </w:p>
        </w:tc>
        <w:tc>
          <w:tcPr>
            <w:tcW w:type="dxa" w:w="5083"/>
            <w:shd w:fill="F7F9FC"/>
            <w:tcBorders>
              <w:top w:val="single" w:sz="7" w:color="DCE5F0"/>
              <w:left w:val="single" w:sz="7" w:color="DCE5F0"/>
              <w:bottom w:val="single" w:sz="7" w:color="DCE5F0"/>
              <w:right w:val="single" w:sz="7" w:color="DCE5F0"/>
            </w:tcBorders>
            <w:tcMar>
              <w:top w:w="130" w:type="dxa"/>
              <w:start w:w="130" w:type="dxa"/>
              <w:bottom w:w="130" w:type="dxa"/>
              <w:end w:w="130" w:type="dxa"/>
            </w:tcMar>
          </w:tcPr>
          <w:p>
            <w:pPr>
              <w:spacing w:before="0" w:after="0" w:line="240" w:lineRule="auto"/>
              <w:jc w:val="center"/>
            </w:pPr>
            <w:r>
              <w:rPr>
                <w:rFonts w:ascii="Aptos" w:hAnsi="Aptos"/>
                <w:b/>
                <w:color w:val="12B8A6"/>
                <w:sz w:val="19"/>
              </w:rPr>
              <w:t>“Which customers are overdue?”</w:t>
            </w:r>
          </w:p>
        </w:tc>
      </w:tr>
      <w:tr>
        <w:tc>
          <w:tcPr>
            <w:tcW w:type="dxa" w:w="5083"/>
            <w:shd w:fill="F7F9FC"/>
            <w:tcBorders>
              <w:top w:val="single" w:sz="7" w:color="DCE5F0"/>
              <w:left w:val="single" w:sz="7" w:color="DCE5F0"/>
              <w:bottom w:val="single" w:sz="7" w:color="DCE5F0"/>
              <w:right w:val="single" w:sz="7" w:color="DCE5F0"/>
            </w:tcBorders>
            <w:tcMar>
              <w:top w:w="130" w:type="dxa"/>
              <w:start w:w="130" w:type="dxa"/>
              <w:bottom w:w="130" w:type="dxa"/>
              <w:end w:w="130" w:type="dxa"/>
            </w:tcMar>
          </w:tcPr>
          <w:p>
            <w:pPr>
              <w:spacing w:before="0" w:after="0" w:line="240" w:lineRule="auto"/>
              <w:jc w:val="center"/>
            </w:pPr>
            <w:r>
              <w:rPr>
                <w:rFonts w:ascii="Aptos" w:hAnsi="Aptos"/>
                <w:b/>
                <w:color w:val="155EEF"/>
                <w:sz w:val="19"/>
              </w:rPr>
              <w:t>“Where are we above budget?”</w:t>
            </w:r>
          </w:p>
        </w:tc>
        <w:tc>
          <w:tcPr>
            <w:tcW w:type="dxa" w:w="5083"/>
            <w:shd w:fill="F7F9FC"/>
            <w:tcBorders>
              <w:top w:val="single" w:sz="7" w:color="DCE5F0"/>
              <w:left w:val="single" w:sz="7" w:color="DCE5F0"/>
              <w:bottom w:val="single" w:sz="7" w:color="DCE5F0"/>
              <w:right w:val="single" w:sz="7" w:color="DCE5F0"/>
            </w:tcBorders>
            <w:tcMar>
              <w:top w:w="130" w:type="dxa"/>
              <w:start w:w="130" w:type="dxa"/>
              <w:bottom w:w="130" w:type="dxa"/>
              <w:end w:w="130" w:type="dxa"/>
            </w:tcMar>
          </w:tcPr>
          <w:p>
            <w:pPr>
              <w:spacing w:before="0" w:after="0" w:line="240" w:lineRule="auto"/>
              <w:jc w:val="center"/>
            </w:pPr>
            <w:r>
              <w:rPr>
                <w:rFonts w:ascii="Aptos" w:hAnsi="Aptos"/>
                <w:b/>
                <w:color w:val="12B8A6"/>
                <w:sz w:val="19"/>
              </w:rPr>
              <w:t>“What requires management attention now?”</w:t>
            </w:r>
          </w:p>
        </w:tc>
      </w:tr>
    </w:tbl>
    <w:p>
      <w:r>
        <w:br w:type="page"/>
      </w:r>
    </w:p>
    <w:p>
      <w:pPr>
        <w:keepNext/>
        <w:spacing w:before="0" w:after="80" w:line="240" w:lineRule="auto"/>
      </w:pPr>
      <w:r>
        <w:rPr>
          <w:rFonts w:ascii="Aptos" w:hAnsi="Aptos"/>
          <w:b/>
          <w:color w:val="12B8A6"/>
          <w:sz w:val="17"/>
        </w:rPr>
        <w:t>07 — IMPLEMENTATION PATH</w:t>
      </w:r>
    </w:p>
    <w:p>
      <w:pPr>
        <w:keepNext/>
        <w:spacing w:before="100" w:after="160" w:line="240" w:lineRule="auto"/>
      </w:pPr>
      <w:r>
        <w:rPr>
          <w:rFonts w:ascii="Aptos" w:hAnsi="Aptos"/>
          <w:b/>
          <w:color w:val="0B1F3A"/>
          <w:sz w:val="44"/>
        </w:rPr>
        <w:t>Validate first, automate deeper second.</w:t>
      </w:r>
    </w:p>
    <w:tbl>
      <w:tblPr>
        <w:tblW w:type="auto" w:w="0"/>
        <w:jc w:val="center"/>
        <w:tblLayout w:type="fixed"/>
        <w:tblLook w:firstColumn="1" w:firstRow="1" w:lastColumn="0" w:lastRow="0" w:noHBand="0" w:noVBand="1" w:val="04A0"/>
      </w:tblPr>
      <w:tblGrid>
        <w:gridCol w:w="5083"/>
        <w:gridCol w:w="5083"/>
      </w:tblGrid>
      <w:tr>
        <w:tc>
          <w:tcPr>
            <w:tcW w:type="dxa" w:w="2448"/>
            <w:shd w:fill="0B1F3A"/>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FFFFFF"/>
                <w:sz w:val="17"/>
              </w:rPr>
              <w:t>PHASE 1 — POC</w:t>
            </w:r>
          </w:p>
        </w:tc>
        <w:tc>
          <w:tcPr>
            <w:tcW w:type="dxa" w:w="7200"/>
            <w:shd w:fill="FFFFFF"/>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0B1F3A"/>
                <w:sz w:val="21"/>
              </w:rPr>
              <w:t>File-based workflow</w:t>
            </w:r>
          </w:p>
          <w:p>
            <w:pPr>
              <w:spacing w:before="0" w:after="0" w:line="264" w:lineRule="auto"/>
            </w:pPr>
            <w:r>
              <w:rPr>
                <w:rFonts w:ascii="Aptos" w:hAnsi="Aptos"/>
                <w:b w:val="0"/>
                <w:color w:val="607086"/>
                <w:sz w:val="17"/>
              </w:rPr>
              <w:t>Daily bank upload + weekly SQL export; reconciliation; admin/founder dashboards; selected AI analysis.</w:t>
            </w:r>
          </w:p>
        </w:tc>
      </w:tr>
    </w:tbl>
    <w:tbl>
      <w:tblPr>
        <w:tblW w:type="auto" w:w="0"/>
        <w:jc w:val="center"/>
        <w:tblLayout w:type="fixed"/>
        <w:tblLook w:firstColumn="1" w:firstRow="1" w:lastColumn="0" w:lastRow="0" w:noHBand="0" w:noVBand="1" w:val="04A0"/>
      </w:tblPr>
      <w:tblGrid>
        <w:gridCol w:w="5083"/>
        <w:gridCol w:w="5083"/>
      </w:tblGrid>
      <w:tr>
        <w:tc>
          <w:tcPr>
            <w:tcW w:type="dxa" w:w="2448"/>
            <w:shd w:fill="155EEF"/>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FFFFFF"/>
                <w:sz w:val="17"/>
              </w:rPr>
              <w:t>PHASE 2 — AUTOMATION</w:t>
            </w:r>
          </w:p>
        </w:tc>
        <w:tc>
          <w:tcPr>
            <w:tcW w:type="dxa" w:w="7200"/>
            <w:shd w:fill="FFFFFF"/>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0B1F3A"/>
                <w:sz w:val="21"/>
              </w:rPr>
              <w:t>Scheduled integration</w:t>
            </w:r>
          </w:p>
          <w:p>
            <w:pPr>
              <w:spacing w:before="0" w:after="0" w:line="264" w:lineRule="auto"/>
            </w:pPr>
            <w:r>
              <w:rPr>
                <w:rFonts w:ascii="Aptos" w:hAnsi="Aptos"/>
                <w:b w:val="0"/>
                <w:color w:val="607086"/>
                <w:sz w:val="17"/>
              </w:rPr>
              <w:t>Evaluate automated ingestion, scheduled reports, alerts and deeper integration where technically supported.</w:t>
            </w:r>
          </w:p>
        </w:tc>
      </w:tr>
    </w:tbl>
    <w:tbl>
      <w:tblPr>
        <w:tblW w:type="auto" w:w="0"/>
        <w:jc w:val="center"/>
        <w:tblLayout w:type="fixed"/>
        <w:tblLook w:firstColumn="1" w:firstRow="1" w:lastColumn="0" w:lastRow="0" w:noHBand="0" w:noVBand="1" w:val="04A0"/>
      </w:tblPr>
      <w:tblGrid>
        <w:gridCol w:w="5083"/>
        <w:gridCol w:w="5083"/>
      </w:tblGrid>
      <w:tr>
        <w:tc>
          <w:tcPr>
            <w:tcW w:type="dxa" w:w="2448"/>
            <w:shd w:fill="12B8A6"/>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FFFFFF"/>
                <w:sz w:val="17"/>
              </w:rPr>
              <w:t>PHASE 3 — SCALE</w:t>
            </w:r>
          </w:p>
        </w:tc>
        <w:tc>
          <w:tcPr>
            <w:tcW w:type="dxa" w:w="7200"/>
            <w:shd w:fill="FFFFFF"/>
            <w:tcBorders>
              <w:top w:val="single" w:sz="8" w:color="DCE5F0"/>
              <w:left w:val="single" w:sz="8" w:color="DCE5F0"/>
              <w:bottom w:val="single" w:sz="8" w:color="DCE5F0"/>
              <w:right w:val="single" w:sz="8" w:color="DCE5F0"/>
            </w:tcBorders>
            <w:tcMar>
              <w:top w:w="130" w:type="dxa"/>
              <w:start w:w="140" w:type="dxa"/>
              <w:bottom w:w="130" w:type="dxa"/>
              <w:end w:w="140" w:type="dxa"/>
            </w:tcMar>
          </w:tcPr>
          <w:p>
            <w:pPr>
              <w:spacing w:before="0" w:after="60" w:line="240" w:lineRule="auto"/>
            </w:pPr>
            <w:r>
              <w:rPr>
                <w:rFonts w:ascii="Aptos" w:hAnsi="Aptos"/>
                <w:b/>
                <w:color w:val="0B1F3A"/>
                <w:sz w:val="21"/>
              </w:rPr>
              <w:t>Expanded finance intelligence</w:t>
            </w:r>
          </w:p>
          <w:p>
            <w:pPr>
              <w:spacing w:before="0" w:after="0" w:line="264" w:lineRule="auto"/>
            </w:pPr>
            <w:r>
              <w:rPr>
                <w:rFonts w:ascii="Aptos" w:hAnsi="Aptos"/>
                <w:b w:val="0"/>
                <w:color w:val="607086"/>
                <w:sz w:val="17"/>
              </w:rPr>
              <w:t>Extend forecasting, approval workflows, multi-company/project views and additional management intelligence subject to validated requirements.</w:t>
            </w:r>
          </w:p>
        </w:tc>
      </w:tr>
    </w:tbl>
    <w:p>
      <w:pPr>
        <w:keepNext/>
        <w:spacing w:before="100" w:after="160" w:line="240" w:lineRule="auto"/>
      </w:pPr>
      <w:r>
        <w:rPr>
          <w:rFonts w:ascii="Aptos" w:hAnsi="Aptos"/>
          <w:b/>
          <w:color w:val="0B1F3A"/>
          <w:sz w:val="30"/>
        </w:rPr>
        <w:t>Expected outcomes</w:t>
      </w:r>
    </w:p>
    <w:tbl>
      <w:tblPr>
        <w:tblW w:type="auto" w:w="0"/>
        <w:jc w:val="center"/>
        <w:tblLook w:firstColumn="1" w:firstRow="1" w:lastColumn="0" w:lastRow="0" w:noHBand="0" w:noVBand="1" w:val="04A0"/>
      </w:tblPr>
      <w:tblGrid>
        <w:gridCol w:w="5083"/>
        <w:gridCol w:w="5083"/>
      </w:tblGrid>
      <w:tr>
        <w:tc>
          <w:tcPr>
            <w:tcW w:type="dxa" w:w="5083"/>
            <w:shd w:fill="EFF5FF"/>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Faster reporting</w:t>
            </w:r>
          </w:p>
          <w:p>
            <w:pPr>
              <w:spacing w:before="0" w:after="0" w:line="252" w:lineRule="auto"/>
            </w:pPr>
            <w:r>
              <w:rPr>
                <w:rFonts w:ascii="Aptos" w:hAnsi="Aptos"/>
                <w:b w:val="0"/>
                <w:color w:val="607086"/>
                <w:sz w:val="16"/>
              </w:rPr>
              <w:t>Reduce the friction between source data and management-ready visibility.</w:t>
            </w:r>
          </w:p>
        </w:tc>
        <w:tc>
          <w:tcPr>
            <w:tcW w:type="dxa" w:w="5083"/>
            <w:shd w:fill="ECFBF8"/>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Better financial visibility</w:t>
            </w:r>
          </w:p>
          <w:p>
            <w:pPr>
              <w:spacing w:before="0" w:after="0" w:line="252" w:lineRule="auto"/>
            </w:pPr>
            <w:r>
              <w:rPr>
                <w:rFonts w:ascii="Aptos" w:hAnsi="Aptos"/>
                <w:b w:val="0"/>
                <w:color w:val="607086"/>
                <w:sz w:val="16"/>
              </w:rPr>
              <w:t>Give Founder and management a single consolidated view of agreed KPIs.</w:t>
            </w:r>
          </w:p>
        </w:tc>
      </w:tr>
      <w:tr>
        <w:tc>
          <w:tcPr>
            <w:tcW w:type="dxa" w:w="5083"/>
            <w:shd w:fill="EFF5FF"/>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More efficient reconciliation</w:t>
            </w:r>
          </w:p>
          <w:p>
            <w:pPr>
              <w:spacing w:before="0" w:after="0" w:line="252" w:lineRule="auto"/>
            </w:pPr>
            <w:r>
              <w:rPr>
                <w:rFonts w:ascii="Aptos" w:hAnsi="Aptos"/>
                <w:b w:val="0"/>
                <w:color w:val="607086"/>
                <w:sz w:val="16"/>
              </w:rPr>
              <w:t>Shift attention from line-by-line checking toward exceptions and unmatched items.</w:t>
            </w:r>
          </w:p>
        </w:tc>
        <w:tc>
          <w:tcPr>
            <w:tcW w:type="dxa" w:w="5083"/>
            <w:shd w:fill="ECFBF8"/>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Better management decisions</w:t>
            </w:r>
          </w:p>
          <w:p>
            <w:pPr>
              <w:spacing w:before="0" w:after="0" w:line="252" w:lineRule="auto"/>
            </w:pPr>
            <w:r>
              <w:rPr>
                <w:rFonts w:ascii="Aptos" w:hAnsi="Aptos"/>
                <w:b w:val="0"/>
                <w:color w:val="607086"/>
                <w:sz w:val="16"/>
              </w:rPr>
              <w:t>Use validated financial data plus concise NeuralOps analysis to highlight material changes.</w:t>
            </w:r>
          </w:p>
        </w:tc>
      </w:tr>
      <w:tr>
        <w:tc>
          <w:tcPr>
            <w:tcW w:type="dxa" w:w="5083"/>
            <w:shd w:fill="EFF5FF"/>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Improved control</w:t>
            </w:r>
          </w:p>
          <w:p>
            <w:pPr>
              <w:spacing w:before="0" w:after="0" w:line="252" w:lineRule="auto"/>
            </w:pPr>
            <w:r>
              <w:rPr>
                <w:rFonts w:ascii="Aptos" w:hAnsi="Aptos"/>
                <w:b w:val="0"/>
                <w:color w:val="607086"/>
                <w:sz w:val="16"/>
              </w:rPr>
              <w:t>Support maker/checker, approvals, role-based access, supporting documents and auditability.</w:t>
            </w:r>
          </w:p>
        </w:tc>
        <w:tc>
          <w:tcPr>
            <w:tcW w:type="dxa" w:w="5083"/>
            <w:shd w:fill="ECFBF8"/>
            <w:tcBorders>
              <w:top w:val="single" w:sz="7" w:color="DCE5F0"/>
              <w:left w:val="single" w:sz="7" w:color="DCE5F0"/>
              <w:bottom w:val="single" w:sz="7" w:color="DCE5F0"/>
              <w:right w:val="single" w:sz="7" w:color="DCE5F0"/>
            </w:tcBorders>
            <w:tcMar>
              <w:top w:w="120" w:type="dxa"/>
              <w:start w:w="130" w:type="dxa"/>
              <w:bottom w:w="120" w:type="dxa"/>
              <w:end w:w="130" w:type="dxa"/>
            </w:tcMar>
          </w:tcPr>
          <w:p>
            <w:pPr>
              <w:spacing w:before="0" w:after="40" w:line="240" w:lineRule="auto"/>
            </w:pPr>
            <w:r>
              <w:rPr>
                <w:rFonts w:ascii="Aptos" w:hAnsi="Aptos"/>
                <w:b/>
                <w:color w:val="0B1F3A"/>
                <w:sz w:val="19"/>
              </w:rPr>
              <w:t>Lower implementation disruption</w:t>
            </w:r>
          </w:p>
          <w:p>
            <w:pPr>
              <w:spacing w:before="0" w:after="0" w:line="252" w:lineRule="auto"/>
            </w:pPr>
            <w:r>
              <w:rPr>
                <w:rFonts w:ascii="Aptos" w:hAnsi="Aptos"/>
                <w:b w:val="0"/>
                <w:color w:val="607086"/>
                <w:sz w:val="16"/>
              </w:rPr>
              <w:t>Retain SQL Accounting while proving value through a controlled overlay POC.</w:t>
            </w:r>
          </w:p>
        </w:tc>
      </w:tr>
    </w:tbl>
    <w:p>
      <w:pPr>
        <w:keepNext/>
        <w:spacing w:before="100" w:after="160" w:line="240" w:lineRule="auto"/>
      </w:pPr>
      <w:r>
        <w:rPr>
          <w:rFonts w:ascii="Aptos" w:hAnsi="Aptos"/>
          <w:b/>
          <w:color w:val="0B1F3A"/>
          <w:sz w:val="30"/>
        </w:rPr>
        <w:t>Scope confirmation before build</w:t>
      </w:r>
    </w:p>
    <w:p>
      <w:pPr>
        <w:spacing w:before="0" w:after="140" w:line="283" w:lineRule="auto"/>
      </w:pPr>
      <w:r>
        <w:rPr>
          <w:rFonts w:ascii="Aptos" w:hAnsi="Aptos"/>
          <w:b w:val="0"/>
          <w:color w:val="607086"/>
          <w:sz w:val="19"/>
        </w:rPr>
        <w:t>Before implementation, AINNA and Zar Lynx should confirm the exact SQL export format, supported bank-statement formats, required reporting dimensions, approval thresholds, user roles, historical data period, budget source and the boundary between POC reporting versus statutory/tax compliance functions.</w:t>
      </w:r>
    </w:p>
    <w:tbl>
      <w:tblPr>
        <w:tblW w:type="auto" w:w="0"/>
        <w:jc w:val="center"/>
        <w:tblLayout w:type="autofit"/>
        <w:tblLook w:firstColumn="1" w:firstRow="1" w:lastColumn="0" w:lastRow="0" w:noHBand="0" w:noVBand="1" w:val="04A0"/>
      </w:tblPr>
      <w:tblGrid>
        <w:gridCol w:w="10166"/>
      </w:tblGrid>
      <w:tr>
        <w:tc>
          <w:tcPr>
            <w:tcW w:type="dxa" w:w="10166"/>
            <w:shd w:fill="F7F9FC"/>
            <w:tcBorders>
              <w:top w:val="single" w:sz="8" w:color="DCE5F0"/>
              <w:left w:val="single" w:sz="18" w:color="12B8A6"/>
              <w:bottom w:val="single" w:sz="8" w:color="DCE5F0"/>
              <w:right w:val="single" w:sz="8" w:color="DCE5F0"/>
            </w:tcBorders>
            <w:tcMar>
              <w:top w:w="150" w:type="dxa"/>
              <w:start w:w="180" w:type="dxa"/>
              <w:bottom w:w="150" w:type="dxa"/>
              <w:end w:w="180" w:type="dxa"/>
            </w:tcMar>
          </w:tcPr>
          <w:p>
            <w:pPr>
              <w:spacing w:before="0" w:after="80" w:line="240" w:lineRule="auto"/>
            </w:pPr>
            <w:r>
              <w:rPr>
                <w:rFonts w:ascii="Aptos" w:hAnsi="Aptos"/>
                <w:b/>
                <w:color w:val="0B1F3A"/>
                <w:sz w:val="22"/>
              </w:rPr>
              <w:t>Recommended next step</w:t>
            </w:r>
          </w:p>
          <w:p>
            <w:pPr>
              <w:spacing w:before="0" w:after="0" w:line="276" w:lineRule="auto"/>
            </w:pPr>
            <w:r>
              <w:rPr>
                <w:rFonts w:ascii="Aptos" w:hAnsi="Aptos"/>
                <w:b w:val="0"/>
                <w:color w:val="607086"/>
                <w:sz w:val="19"/>
              </w:rPr>
              <w:t>Conduct a short data-and-process validation session using one representative SQL Accounting export and one representative bank statement. From that session, lock the POC data mapping, reconciliation rules, dashboard KPIs and acceptance criteria.</w:t>
            </w:r>
          </w:p>
        </w:tc>
      </w:tr>
    </w:tbl>
    <w:p>
      <w:pPr>
        <w:spacing w:before="0" w:after="0" w:line="283" w:lineRule="auto"/>
        <w:jc w:val="center"/>
      </w:pPr>
      <w:r>
        <w:rPr>
          <w:rFonts w:ascii="Aptos" w:hAnsi="Aptos"/>
          <w:b w:val="0"/>
          <w:color w:val="607086"/>
          <w:sz w:val="17"/>
        </w:rPr>
        <w:t>Commercial terms, implementation timeline and final deliverables can be issued after scope validation.</w:t>
      </w:r>
    </w:p>
    <w:sectPr w:rsidR="00FC693F" w:rsidRPr="0006063C" w:rsidSect="00034616">
      <w:headerReference w:type="default" r:id="rId9"/>
      <w:footerReference w:type="default" r:id="rId10"/>
      <w:pgSz w:w="12240" w:h="15840"/>
      <w:pgMar w:top="936" w:right="1037" w:bottom="936" w:left="1037"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jc w:val="center"/>
      <w:tblLook w:firstColumn="1" w:firstRow="1" w:lastColumn="0" w:lastRow="0" w:noHBand="0" w:noVBand="1" w:val="04A0"/>
    </w:tblPr>
    <w:tblGrid>
      <w:gridCol w:w="4752"/>
      <w:gridCol w:w="4752"/>
    </w:tblGrid>
    <w:tr>
      <w:tc>
        <w:tcPr>
          <w:tcW w:type="dxa" w:w="4752"/>
          <w:tcBorders>
            <w:top w:val="nil"/>
            <w:left w:val="nil"/>
            <w:bottom w:val="nil"/>
            <w:right w:val="nil"/>
          </w:tcBorders>
        </w:tcPr>
        <w:p>
          <w:pPr>
            <w:spacing w:before="0" w:after="0" w:line="240" w:lineRule="auto"/>
          </w:pPr>
          <w:r>
            <w:rPr>
              <w:rFonts w:ascii="Aptos" w:hAnsi="Aptos"/>
              <w:b w:val="0"/>
              <w:color w:val="607086"/>
              <w:sz w:val="16"/>
            </w:rPr>
            <w:t>Zar Lynx × AINNA | Confidential Proposal</w:t>
          </w:r>
        </w:p>
      </w:tc>
      <w:tc>
        <w:tcPr>
          <w:tcW w:type="dxa" w:w="4752"/>
          <w:tcBorders>
            <w:top w:val="nil"/>
            <w:left w:val="nil"/>
            <w:bottom w:val="nil"/>
            <w:right w:val="nil"/>
          </w:tcBorders>
        </w:tcPr>
        <w:p>
          <w:pPr>
            <w:jc w:val="right"/>
          </w:pPr>
          <w:r>
            <w:rPr>
              <w:rFonts w:ascii="Aptos" w:hAnsi="Aptos"/>
              <w:color w:val="60708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line="240" w:lineRule="auto"/>
      <w:jc w:val="right"/>
    </w:pPr>
    <w:r>
      <w:rPr>
        <w:rFonts w:ascii="Aptos" w:hAnsi="Aptos"/>
        <w:b/>
        <w:color w:val="155EEF"/>
        <w:sz w:val="17"/>
      </w:rPr>
      <w:t>AINNA NeuralOps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 Lynx × AINNA Founder Financial Command Centre Proposal</dc:title>
  <dc:subject>Finance Intelligence, Reconciliation and Founder Management Reporting POC</dc:subject>
  <dc:creator>AINNA</dc:creator>
  <cp:keywords>Zar Lynx, AINNA, NeuralOps, SQL Accounting, Bank Reconciliation, Founder Dashboard</cp:keywords>
  <dc:description>generated by python-docx</dc:description>
  <cp:lastModifiedBy/>
  <cp:revision>1</cp:revision>
  <dcterms:created xsi:type="dcterms:W3CDTF">2013-12-23T23:15:00Z</dcterms:created>
  <dcterms:modified xsi:type="dcterms:W3CDTF">2013-12-23T23:15:00Z</dcterms:modified>
  <cp:category/>
</cp:coreProperties>
</file>