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4" w:color="DCE5EE"/>
          <w:left w:val="single" w:sz="4" w:color="DCE5EE"/>
          <w:bottom w:val="single" w:sz="4" w:color="DCE5EE"/>
          <w:right w:val="single" w:sz="4" w:color="DCE5EE"/>
          <w:insideH w:val="single" w:sz="4" w:color="DCE5EE"/>
          <w:insideV w:val="single" w:sz="4" w:color="DCE5EE"/>
        </w:tblBorders>
      </w:tblPr>
      <w:tblGrid>
        <w:gridCol w:w="8208"/>
        <w:gridCol w:w="2880"/>
      </w:tblGrid>
      <w:tr>
        <w:tc>
          <w:tcPr>
            <w:tcW w:type="dxa" w:w="5328"/>
            <w:shd w:fill="123A63"/>
            <w:tcMar>
              <w:top w:w="160" w:type="dxa"/>
              <w:start w:w="180" w:type="dxa"/>
              <w:bottom w:w="160" w:type="dxa"/>
              <w:end w:w="180" w:type="dxa"/>
            </w:tcMar>
            <w:vAlign w:val="center"/>
          </w:tcPr>
          <w:p>
            <w:pPr>
              <w:jc w:val="left"/>
            </w:pPr>
            <w:r>
              <w:rPr>
                <w:rFonts w:ascii="Aptos" w:hAnsi="Aptos"/>
                <w:b/>
                <w:color w:val="FFFFFF"/>
                <w:sz w:val="22"/>
              </w:rPr>
              <w:t>AINNA  ×  ZAR LYNX SDN BHD</w:t>
            </w:r>
          </w:p>
        </w:tc>
        <w:tc>
          <w:tcPr>
            <w:tcW w:type="dxa" w:w="5328"/>
            <w:shd w:fill="123A63"/>
            <w:tcMar>
              <w:top w:w="160" w:type="dxa"/>
              <w:start w:w="180" w:type="dxa"/>
              <w:bottom w:w="160" w:type="dxa"/>
              <w:end w:w="180" w:type="dxa"/>
            </w:tcMar>
            <w:vAlign w:val="center"/>
          </w:tcPr>
          <w:p>
            <w:pPr>
              <w:jc w:val="right"/>
            </w:pPr>
            <w:r>
              <w:rPr>
                <w:rFonts w:ascii="Aptos" w:hAnsi="Aptos"/>
                <w:b/>
                <w:color w:val="CBEAE3"/>
                <w:sz w:val="20"/>
              </w:rPr>
              <w:t>EXECUTIVE SUMMARY</w:t>
            </w:r>
          </w:p>
        </w:tc>
      </w:tr>
    </w:tbl>
    <w:p>
      <w:pPr>
        <w:spacing w:after="0" w:before="0"/>
      </w:pPr>
    </w:p>
    <w:p>
      <w:pPr>
        <w:spacing w:before="40" w:after="40"/>
      </w:pPr>
      <w:r>
        <w:rPr>
          <w:rFonts w:ascii="Aptos Display" w:hAnsi="Aptos Display"/>
          <w:b/>
          <w:color w:val="132033"/>
          <w:sz w:val="48"/>
        </w:rPr>
        <w:t>Founder Financial Command Centre</w:t>
      </w:r>
    </w:p>
    <w:p>
      <w:pPr>
        <w:spacing w:before="0" w:after="160"/>
      </w:pPr>
      <w:r>
        <w:rPr>
          <w:rFonts w:ascii="Aptos" w:hAnsi="Aptos"/>
          <w:i/>
          <w:color w:val="0F5D7C"/>
          <w:sz w:val="21"/>
        </w:rPr>
        <w:t>Finance Intelligence, Reconciliation &amp; Management Reporting Layer</w:t>
      </w:r>
    </w:p>
    <w:tbl>
      <w:tblPr>
        <w:tblW w:type="auto" w:w="0"/>
        <w:jc w:val="center"/>
        <w:tblLook w:firstColumn="1" w:firstRow="1" w:lastColumn="0" w:lastRow="0" w:noHBand="0" w:noVBand="1" w:val="04A0"/>
        <w:tblBorders>
          <w:top w:val="single" w:sz="4" w:color="DCE5EE"/>
          <w:left w:val="single" w:sz="4" w:color="DCE5EE"/>
          <w:bottom w:val="single" w:sz="4" w:color="DCE5EE"/>
          <w:right w:val="single" w:sz="4" w:color="DCE5EE"/>
          <w:insideH w:val="single" w:sz="4" w:color="DCE5EE"/>
          <w:insideV w:val="single" w:sz="4" w:color="DCE5EE"/>
        </w:tblBorders>
      </w:tblPr>
      <w:tblGrid>
        <w:gridCol w:w="10656"/>
      </w:tblGrid>
      <w:tr>
        <w:tc>
          <w:tcPr>
            <w:tcW w:type="dxa" w:w="10656"/>
            <w:shd w:fill="EEF6FB"/>
            <w:tcMar>
              <w:top w:w="180" w:type="dxa"/>
              <w:start w:w="200" w:type="dxa"/>
              <w:bottom w:w="180" w:type="dxa"/>
              <w:end w:w="200" w:type="dxa"/>
            </w:tcMar>
          </w:tcPr>
          <w:p>
            <w:pPr>
              <w:spacing w:after="0"/>
            </w:pPr>
            <w:r>
              <w:rPr>
                <w:rFonts w:ascii="Aptos" w:hAnsi="Aptos"/>
                <w:color w:val="314D64"/>
                <w:sz w:val="18"/>
              </w:rPr>
              <w:t>Zar Lynx currently uses SQL Accounting and is seeking stronger financial visibility, faster reporting, cash flow monitoring, financial accuracy, audit readiness and better management decision-making. AINNA proposes a Founder Financial Command Centre that works alongside the existing accounting environment rather than replacing it. SQL Accounting remains the system of record, while AINNA adds reconciliation, automation, management reporting and NeuralOps AI finance intelligence.</w:t>
            </w:r>
          </w:p>
        </w:tc>
      </w:tr>
    </w:tbl>
    <w:p>
      <w:pPr>
        <w:spacing w:after="40"/>
      </w:pPr>
    </w:p>
    <w:tbl>
      <w:tblPr>
        <w:tblW w:type="auto" w:w="0"/>
        <w:jc w:val="center"/>
        <w:tblLayout w:type="fixed"/>
        <w:tblLook w:firstColumn="1" w:firstRow="1" w:lastColumn="0" w:lastRow="0" w:noHBand="0" w:noVBand="1" w:val="04A0"/>
        <w:tblBorders>
          <w:top w:val="single" w:sz="4" w:color="DCE5EE"/>
          <w:left w:val="single" w:sz="4" w:color="DCE5EE"/>
          <w:bottom w:val="single" w:sz="4" w:color="DCE5EE"/>
          <w:right w:val="single" w:sz="4" w:color="DCE5EE"/>
          <w:insideH w:val="single" w:sz="4" w:color="DCE5EE"/>
          <w:insideV w:val="single" w:sz="4" w:color="DCE5EE"/>
        </w:tblBorders>
      </w:tblPr>
      <w:tblGrid>
        <w:gridCol w:w="5544"/>
        <w:gridCol w:w="5544"/>
      </w:tblGrid>
      <w:tr>
        <w:tc>
          <w:tcPr>
            <w:tcW w:type="dxa" w:w="5328"/>
            <w:tcMar>
              <w:top w:w="120" w:type="dxa"/>
              <w:start w:w="160" w:type="dxa"/>
              <w:bottom w:w="120" w:type="dxa"/>
              <w:end w:w="160" w:type="dxa"/>
            </w:tcMar>
            <w:shd w:fill="F8FAFC"/>
          </w:tcPr>
          <w:p>
            <w:r>
              <w:rPr>
                <w:b/>
                <w:color w:val="123A63"/>
                <w:sz w:val="20"/>
              </w:rPr>
              <w:t>WHY THIS APPROACH</w:t>
            </w:r>
          </w:p>
          <w:p>
            <w:pPr>
              <w:spacing w:after="40"/>
              <w:ind w:left="43"/>
            </w:pPr>
            <w:r>
              <w:rPr>
                <w:color w:val="4C5E71"/>
                <w:sz w:val="17"/>
              </w:rPr>
              <w:t>• Keep SQL Accounting intact and reduce implementation disruption.</w:t>
            </w:r>
          </w:p>
          <w:p>
            <w:pPr>
              <w:spacing w:after="40"/>
              <w:ind w:left="43"/>
            </w:pPr>
            <w:r>
              <w:rPr>
                <w:color w:val="4C5E71"/>
                <w:sz w:val="17"/>
              </w:rPr>
              <w:t>• Use existing bank statement and SQL export data as the initial data sources.</w:t>
            </w:r>
          </w:p>
          <w:p>
            <w:pPr>
              <w:spacing w:after="40"/>
              <w:ind w:left="43"/>
            </w:pPr>
            <w:r>
              <w:rPr>
                <w:color w:val="4C5E71"/>
                <w:sz w:val="17"/>
              </w:rPr>
              <w:t>• Focus management attention on exceptions, cash position, performance and approvals.</w:t>
            </w:r>
          </w:p>
          <w:p>
            <w:pPr>
              <w:spacing w:after="40"/>
              <w:ind w:left="43"/>
            </w:pPr>
            <w:r>
              <w:rPr>
                <w:color w:val="4C5E71"/>
                <w:sz w:val="17"/>
              </w:rPr>
              <w:t>• Start with a controlled POC before deeper system integration.</w:t>
            </w:r>
          </w:p>
        </w:tc>
        <w:tc>
          <w:tcPr>
            <w:tcW w:type="dxa" w:w="5328"/>
            <w:tcMar>
              <w:top w:w="120" w:type="dxa"/>
              <w:start w:w="160" w:type="dxa"/>
              <w:bottom w:w="120" w:type="dxa"/>
              <w:end w:w="160" w:type="dxa"/>
            </w:tcMar>
            <w:shd w:fill="F8FAFC"/>
          </w:tcPr>
          <w:p>
            <w:r>
              <w:rPr>
                <w:b/>
                <w:color w:val="123A63"/>
                <w:sz w:val="20"/>
              </w:rPr>
              <w:t>FOUNDERS NEED TO SEE</w:t>
            </w:r>
          </w:p>
          <w:p>
            <w:pPr>
              <w:spacing w:after="40"/>
              <w:ind w:left="43"/>
            </w:pPr>
            <w:r>
              <w:rPr>
                <w:color w:val="4C5E71"/>
                <w:sz w:val="17"/>
              </w:rPr>
              <w:t>• Revenue, Profit &amp; Loss and expenses</w:t>
            </w:r>
          </w:p>
          <w:p>
            <w:pPr>
              <w:spacing w:after="40"/>
              <w:ind w:left="43"/>
            </w:pPr>
            <w:r>
              <w:rPr>
                <w:color w:val="4C5E71"/>
                <w:sz w:val="17"/>
              </w:rPr>
              <w:t>• Bank balance and cash position</w:t>
            </w:r>
          </w:p>
          <w:p>
            <w:pPr>
              <w:spacing w:after="40"/>
              <w:ind w:left="43"/>
            </w:pPr>
            <w:r>
              <w:rPr>
                <w:color w:val="4C5E71"/>
                <w:sz w:val="17"/>
              </w:rPr>
              <w:t>• Outstanding customer and supplier payments</w:t>
            </w:r>
          </w:p>
          <w:p>
            <w:pPr>
              <w:spacing w:after="40"/>
              <w:ind w:left="43"/>
            </w:pPr>
            <w:r>
              <w:rPr>
                <w:color w:val="4C5E71"/>
                <w:sz w:val="17"/>
              </w:rPr>
              <w:t>• Debt / loans and liquidity position</w:t>
            </w:r>
          </w:p>
          <w:p>
            <w:pPr>
              <w:spacing w:after="40"/>
              <w:ind w:left="43"/>
            </w:pPr>
            <w:r>
              <w:rPr>
                <w:color w:val="4C5E71"/>
                <w:sz w:val="17"/>
              </w:rPr>
              <w:t>• Budget vs actual, trends and management alerts</w:t>
            </w:r>
          </w:p>
        </w:tc>
      </w:tr>
    </w:tbl>
    <w:p>
      <w:pPr>
        <w:spacing w:after="40"/>
      </w:pPr>
      <w:r>
        <w:rPr>
          <w:b/>
          <w:color w:val="123A63"/>
          <w:sz w:val="21"/>
        </w:rPr>
        <w:t>PROPOSED OPERATING RHYTHM</w:t>
      </w:r>
    </w:p>
    <w:tbl>
      <w:tblPr>
        <w:tblW w:type="auto" w:w="0"/>
        <w:jc w:val="center"/>
        <w:tblLayout w:type="fixed"/>
        <w:tblLook w:firstColumn="1" w:firstRow="1" w:lastColumn="0" w:lastRow="0" w:noHBand="0" w:noVBand="1" w:val="04A0"/>
        <w:tblBorders>
          <w:top w:val="single" w:sz="4" w:color="DCE5EE"/>
          <w:left w:val="single" w:sz="4" w:color="DCE5EE"/>
          <w:bottom w:val="single" w:sz="4" w:color="DCE5EE"/>
          <w:right w:val="single" w:sz="4" w:color="DCE5EE"/>
          <w:insideH w:val="single" w:sz="4" w:color="DCE5EE"/>
          <w:insideV w:val="single" w:sz="4" w:color="DCE5EE"/>
        </w:tblBorders>
      </w:tblPr>
      <w:tblGrid>
        <w:gridCol w:w="3672"/>
        <w:gridCol w:w="3672"/>
        <w:gridCol w:w="3672"/>
      </w:tblGrid>
      <w:tr>
        <w:tc>
          <w:tcPr>
            <w:tcW w:type="dxa" w:w="3552"/>
            <w:shd w:fill="123A63"/>
            <w:tcMar>
              <w:top w:w="85" w:type="dxa"/>
              <w:start w:w="110" w:type="dxa"/>
              <w:bottom w:w="85" w:type="dxa"/>
              <w:end w:w="110" w:type="dxa"/>
            </w:tcMar>
          </w:tcPr>
          <w:p>
            <w:pPr>
              <w:jc w:val="center"/>
            </w:pPr>
            <w:r>
              <w:rPr>
                <w:b/>
                <w:color w:val="FFFFFF"/>
                <w:sz w:val="17"/>
              </w:rPr>
              <w:t>DAILY</w:t>
            </w:r>
          </w:p>
        </w:tc>
        <w:tc>
          <w:tcPr>
            <w:tcW w:type="dxa" w:w="3552"/>
            <w:shd w:fill="123A63"/>
            <w:tcMar>
              <w:top w:w="85" w:type="dxa"/>
              <w:start w:w="110" w:type="dxa"/>
              <w:bottom w:w="85" w:type="dxa"/>
              <w:end w:w="110" w:type="dxa"/>
            </w:tcMar>
          </w:tcPr>
          <w:p>
            <w:pPr>
              <w:jc w:val="center"/>
            </w:pPr>
            <w:r>
              <w:rPr>
                <w:b/>
                <w:color w:val="FFFFFF"/>
                <w:sz w:val="17"/>
              </w:rPr>
              <w:t>WEEKLY</w:t>
            </w:r>
          </w:p>
        </w:tc>
        <w:tc>
          <w:tcPr>
            <w:tcW w:type="dxa" w:w="3552"/>
            <w:shd w:fill="123A63"/>
            <w:tcMar>
              <w:top w:w="85" w:type="dxa"/>
              <w:start w:w="110" w:type="dxa"/>
              <w:bottom w:w="85" w:type="dxa"/>
              <w:end w:w="110" w:type="dxa"/>
            </w:tcMar>
          </w:tcPr>
          <w:p>
            <w:pPr>
              <w:jc w:val="center"/>
            </w:pPr>
            <w:r>
              <w:rPr>
                <w:b/>
                <w:color w:val="FFFFFF"/>
                <w:sz w:val="17"/>
              </w:rPr>
              <w:t>MONTHLY</w:t>
            </w:r>
          </w:p>
        </w:tc>
      </w:tr>
      <w:tr>
        <w:tc>
          <w:tcPr>
            <w:tcW w:type="dxa" w:w="3552"/>
            <w:shd w:fill="FFFFFF"/>
            <w:tcMar>
              <w:top w:w="110" w:type="dxa"/>
              <w:start w:w="120" w:type="dxa"/>
              <w:bottom w:w="110" w:type="dxa"/>
              <w:end w:w="120" w:type="dxa"/>
            </w:tcMar>
          </w:tcPr>
          <w:p>
            <w:pPr>
              <w:jc w:val="center"/>
            </w:pPr>
            <w:r>
              <w:rPr>
                <w:b/>
                <w:color w:val="132033"/>
                <w:sz w:val="18"/>
              </w:rPr>
              <w:t>Bank Upload</w:t>
              <w:br/>
            </w:r>
            <w:r>
              <w:rPr>
                <w:color w:val="6C7A8C"/>
                <w:sz w:val="15"/>
              </w:rPr>
              <w:t>Cash position • collections • payments • unmatched transactions • alerts</w:t>
            </w:r>
          </w:p>
        </w:tc>
        <w:tc>
          <w:tcPr>
            <w:tcW w:type="dxa" w:w="3552"/>
            <w:shd w:fill="FFFFFF"/>
            <w:tcMar>
              <w:top w:w="110" w:type="dxa"/>
              <w:start w:w="120" w:type="dxa"/>
              <w:bottom w:w="110" w:type="dxa"/>
              <w:end w:w="120" w:type="dxa"/>
            </w:tcMar>
          </w:tcPr>
          <w:p>
            <w:pPr>
              <w:jc w:val="center"/>
            </w:pPr>
            <w:r>
              <w:rPr>
                <w:b/>
                <w:color w:val="132033"/>
                <w:sz w:val="18"/>
              </w:rPr>
              <w:t>SQL Accounting Export</w:t>
              <w:br/>
            </w:r>
            <w:r>
              <w:rPr>
                <w:color w:val="6C7A8C"/>
                <w:sz w:val="15"/>
              </w:rPr>
              <w:t>P&amp;L • Balance Sheet • cash flow • AR/AP • budget variance • trends</w:t>
            </w:r>
          </w:p>
        </w:tc>
        <w:tc>
          <w:tcPr>
            <w:tcW w:type="dxa" w:w="3552"/>
            <w:shd w:fill="FFFFFF"/>
            <w:tcMar>
              <w:top w:w="110" w:type="dxa"/>
              <w:start w:w="120" w:type="dxa"/>
              <w:bottom w:w="110" w:type="dxa"/>
              <w:end w:w="120" w:type="dxa"/>
            </w:tcMar>
          </w:tcPr>
          <w:p>
            <w:pPr>
              <w:jc w:val="center"/>
            </w:pPr>
            <w:r>
              <w:rPr>
                <w:b/>
                <w:color w:val="132033"/>
                <w:sz w:val="18"/>
              </w:rPr>
              <w:t>Management Review</w:t>
              <w:br/>
            </w:r>
            <w:r>
              <w:rPr>
                <w:color w:val="6C7A8C"/>
                <w:sz w:val="15"/>
              </w:rPr>
              <w:t>Reconciliation review • month-end insight • management summary</w:t>
            </w:r>
          </w:p>
        </w:tc>
      </w:tr>
    </w:tbl>
    <w:p>
      <w:pPr>
        <w:spacing w:after="40" w:before="120"/>
      </w:pPr>
      <w:r>
        <w:rPr>
          <w:b/>
          <w:color w:val="123A63"/>
          <w:sz w:val="21"/>
        </w:rPr>
        <w:t>PHASE 1 POC SCOPE</w:t>
      </w:r>
    </w:p>
    <w:tbl>
      <w:tblPr>
        <w:tblW w:type="auto" w:w="0"/>
        <w:jc w:val="center"/>
        <w:tblLayout w:type="fixed"/>
        <w:tblLook w:firstColumn="1" w:firstRow="1" w:lastColumn="0" w:lastRow="0" w:noHBand="0" w:noVBand="1" w:val="04A0"/>
        <w:tblBorders>
          <w:top w:val="single" w:sz="4" w:color="DCE5EE"/>
          <w:left w:val="single" w:sz="4" w:color="DCE5EE"/>
          <w:bottom w:val="single" w:sz="4" w:color="DCE5EE"/>
          <w:right w:val="single" w:sz="4" w:color="DCE5EE"/>
          <w:insideH w:val="single" w:sz="4" w:color="DCE5EE"/>
          <w:insideV w:val="single" w:sz="4" w:color="DCE5EE"/>
        </w:tblBorders>
      </w:tblPr>
      <w:tblGrid>
        <w:gridCol w:w="1829"/>
        <w:gridCol w:w="1829"/>
        <w:gridCol w:w="1829"/>
        <w:gridCol w:w="1829"/>
        <w:gridCol w:w="1829"/>
        <w:gridCol w:w="1829"/>
      </w:tblGrid>
      <w:tr>
        <w:tc>
          <w:tcPr>
            <w:tcW w:type="dxa" w:w="1776"/>
            <w:shd w:fill="E9F7F4"/>
            <w:tcMar>
              <w:top w:w="65" w:type="dxa"/>
              <w:start w:w="70" w:type="dxa"/>
              <w:bottom w:w="65" w:type="dxa"/>
              <w:end w:w="70" w:type="dxa"/>
            </w:tcMar>
          </w:tcPr>
          <w:p>
            <w:pPr>
              <w:jc w:val="center"/>
            </w:pPr>
            <w:r>
              <w:rPr>
                <w:b/>
                <w:color w:val="0F7766"/>
                <w:sz w:val="18"/>
              </w:rPr>
              <w:t>01</w:t>
            </w:r>
          </w:p>
        </w:tc>
        <w:tc>
          <w:tcPr>
            <w:tcW w:type="dxa" w:w="1776"/>
            <w:shd w:fill="E9F7F4"/>
            <w:tcMar>
              <w:top w:w="65" w:type="dxa"/>
              <w:start w:w="70" w:type="dxa"/>
              <w:bottom w:w="65" w:type="dxa"/>
              <w:end w:w="70" w:type="dxa"/>
            </w:tcMar>
          </w:tcPr>
          <w:p>
            <w:pPr>
              <w:jc w:val="center"/>
            </w:pPr>
            <w:r>
              <w:rPr>
                <w:b/>
                <w:color w:val="0F7766"/>
                <w:sz w:val="18"/>
              </w:rPr>
              <w:t>02</w:t>
            </w:r>
          </w:p>
        </w:tc>
        <w:tc>
          <w:tcPr>
            <w:tcW w:type="dxa" w:w="1776"/>
            <w:shd w:fill="E9F7F4"/>
            <w:tcMar>
              <w:top w:w="65" w:type="dxa"/>
              <w:start w:w="70" w:type="dxa"/>
              <w:bottom w:w="65" w:type="dxa"/>
              <w:end w:w="70" w:type="dxa"/>
            </w:tcMar>
          </w:tcPr>
          <w:p>
            <w:pPr>
              <w:jc w:val="center"/>
            </w:pPr>
            <w:r>
              <w:rPr>
                <w:b/>
                <w:color w:val="0F7766"/>
                <w:sz w:val="18"/>
              </w:rPr>
              <w:t>03</w:t>
            </w:r>
          </w:p>
        </w:tc>
        <w:tc>
          <w:tcPr>
            <w:tcW w:type="dxa" w:w="1776"/>
            <w:shd w:fill="E9F7F4"/>
            <w:tcMar>
              <w:top w:w="65" w:type="dxa"/>
              <w:start w:w="70" w:type="dxa"/>
              <w:bottom w:w="65" w:type="dxa"/>
              <w:end w:w="70" w:type="dxa"/>
            </w:tcMar>
          </w:tcPr>
          <w:p>
            <w:pPr>
              <w:jc w:val="center"/>
            </w:pPr>
            <w:r>
              <w:rPr>
                <w:b/>
                <w:color w:val="0F7766"/>
                <w:sz w:val="18"/>
              </w:rPr>
              <w:t>04</w:t>
            </w:r>
          </w:p>
        </w:tc>
        <w:tc>
          <w:tcPr>
            <w:tcW w:type="dxa" w:w="1776"/>
            <w:shd w:fill="E9F7F4"/>
            <w:tcMar>
              <w:top w:w="65" w:type="dxa"/>
              <w:start w:w="70" w:type="dxa"/>
              <w:bottom w:w="65" w:type="dxa"/>
              <w:end w:w="70" w:type="dxa"/>
            </w:tcMar>
          </w:tcPr>
          <w:p>
            <w:pPr>
              <w:jc w:val="center"/>
            </w:pPr>
            <w:r>
              <w:rPr>
                <w:b/>
                <w:color w:val="0F7766"/>
                <w:sz w:val="18"/>
              </w:rPr>
              <w:t>05</w:t>
            </w:r>
          </w:p>
        </w:tc>
        <w:tc>
          <w:tcPr>
            <w:tcW w:type="dxa" w:w="1776"/>
            <w:shd w:fill="E9F7F4"/>
            <w:tcMar>
              <w:top w:w="65" w:type="dxa"/>
              <w:start w:w="70" w:type="dxa"/>
              <w:bottom w:w="65" w:type="dxa"/>
              <w:end w:w="70" w:type="dxa"/>
            </w:tcMar>
          </w:tcPr>
          <w:p>
            <w:pPr>
              <w:jc w:val="center"/>
            </w:pPr>
            <w:r>
              <w:rPr>
                <w:b/>
                <w:color w:val="0F7766"/>
                <w:sz w:val="18"/>
              </w:rPr>
              <w:t>06</w:t>
            </w:r>
          </w:p>
        </w:tc>
      </w:tr>
      <w:tr>
        <w:tc>
          <w:tcPr>
            <w:tcW w:type="dxa" w:w="1776"/>
            <w:shd w:fill="FFFFFF"/>
            <w:tcMar>
              <w:top w:w="75" w:type="dxa"/>
              <w:start w:w="70" w:type="dxa"/>
              <w:bottom w:w="75" w:type="dxa"/>
              <w:end w:w="70" w:type="dxa"/>
            </w:tcMar>
          </w:tcPr>
          <w:p>
            <w:pPr>
              <w:jc w:val="center"/>
            </w:pPr>
            <w:r>
              <w:rPr>
                <w:b/>
                <w:color w:val="314D64"/>
                <w:sz w:val="15"/>
              </w:rPr>
              <w:t>Bank</w:t>
              <w:br/>
              <w:t>Recompiler</w:t>
            </w:r>
          </w:p>
        </w:tc>
        <w:tc>
          <w:tcPr>
            <w:tcW w:type="dxa" w:w="1776"/>
            <w:shd w:fill="FFFFFF"/>
            <w:tcMar>
              <w:top w:w="75" w:type="dxa"/>
              <w:start w:w="70" w:type="dxa"/>
              <w:bottom w:w="75" w:type="dxa"/>
              <w:end w:w="70" w:type="dxa"/>
            </w:tcMar>
          </w:tcPr>
          <w:p>
            <w:pPr>
              <w:jc w:val="center"/>
            </w:pPr>
            <w:r>
              <w:rPr>
                <w:b/>
                <w:color w:val="314D64"/>
                <w:sz w:val="15"/>
              </w:rPr>
              <w:t>SQL Data</w:t>
              <w:br/>
              <w:t>Import</w:t>
            </w:r>
          </w:p>
        </w:tc>
        <w:tc>
          <w:tcPr>
            <w:tcW w:type="dxa" w:w="1776"/>
            <w:shd w:fill="FFFFFF"/>
            <w:tcMar>
              <w:top w:w="75" w:type="dxa"/>
              <w:start w:w="70" w:type="dxa"/>
              <w:bottom w:w="75" w:type="dxa"/>
              <w:end w:w="70" w:type="dxa"/>
            </w:tcMar>
          </w:tcPr>
          <w:p>
            <w:pPr>
              <w:jc w:val="center"/>
            </w:pPr>
            <w:r>
              <w:rPr>
                <w:b/>
                <w:color w:val="314D64"/>
                <w:sz w:val="15"/>
              </w:rPr>
              <w:t>Reconciliation</w:t>
              <w:br/>
              <w:t>Engine</w:t>
            </w:r>
          </w:p>
        </w:tc>
        <w:tc>
          <w:tcPr>
            <w:tcW w:type="dxa" w:w="1776"/>
            <w:shd w:fill="FFFFFF"/>
            <w:tcMar>
              <w:top w:w="75" w:type="dxa"/>
              <w:start w:w="70" w:type="dxa"/>
              <w:bottom w:w="75" w:type="dxa"/>
              <w:end w:w="70" w:type="dxa"/>
            </w:tcMar>
          </w:tcPr>
          <w:p>
            <w:pPr>
              <w:jc w:val="center"/>
            </w:pPr>
            <w:r>
              <w:rPr>
                <w:b/>
                <w:color w:val="314D64"/>
                <w:sz w:val="15"/>
              </w:rPr>
              <w:t>Financial</w:t>
              <w:br/>
              <w:t>Dashboard</w:t>
            </w:r>
          </w:p>
        </w:tc>
        <w:tc>
          <w:tcPr>
            <w:tcW w:type="dxa" w:w="1776"/>
            <w:shd w:fill="FFFFFF"/>
            <w:tcMar>
              <w:top w:w="75" w:type="dxa"/>
              <w:start w:w="70" w:type="dxa"/>
              <w:bottom w:w="75" w:type="dxa"/>
              <w:end w:w="70" w:type="dxa"/>
            </w:tcMar>
          </w:tcPr>
          <w:p>
            <w:pPr>
              <w:jc w:val="center"/>
            </w:pPr>
            <w:r>
              <w:rPr>
                <w:b/>
                <w:color w:val="314D64"/>
                <w:sz w:val="15"/>
              </w:rPr>
              <w:t>Founder</w:t>
              <w:br/>
              <w:t>Command Centre</w:t>
            </w:r>
          </w:p>
        </w:tc>
        <w:tc>
          <w:tcPr>
            <w:tcW w:type="dxa" w:w="1776"/>
            <w:shd w:fill="FFFFFF"/>
            <w:tcMar>
              <w:top w:w="75" w:type="dxa"/>
              <w:start w:w="70" w:type="dxa"/>
              <w:bottom w:w="75" w:type="dxa"/>
              <w:end w:w="70" w:type="dxa"/>
            </w:tcMar>
          </w:tcPr>
          <w:p>
            <w:pPr>
              <w:jc w:val="center"/>
            </w:pPr>
            <w:r>
              <w:rPr>
                <w:b/>
                <w:color w:val="314D64"/>
                <w:sz w:val="15"/>
              </w:rPr>
              <w:t>NeuralOps</w:t>
              <w:br/>
              <w:t>AI</w:t>
            </w:r>
          </w:p>
        </w:tc>
      </w:tr>
    </w:tbl>
    <w:p>
      <w:pPr>
        <w:spacing w:after="40" w:before="120"/>
      </w:pPr>
      <w:r>
        <w:rPr>
          <w:b/>
          <w:color w:val="123A63"/>
          <w:sz w:val="21"/>
        </w:rPr>
        <w:t>EXPECTED BUSINESS OUTCOME</w:t>
      </w:r>
    </w:p>
    <w:tbl>
      <w:tblPr>
        <w:tblW w:type="auto" w:w="0"/>
        <w:jc w:val="center"/>
        <w:tblLook w:firstColumn="1" w:firstRow="1" w:lastColumn="0" w:lastRow="0" w:noHBand="0" w:noVBand="1" w:val="04A0"/>
        <w:tblBorders>
          <w:top w:val="single" w:sz="4" w:color="DCE5EE"/>
          <w:left w:val="single" w:sz="4" w:color="DCE5EE"/>
          <w:bottom w:val="single" w:sz="4" w:color="DCE5EE"/>
          <w:right w:val="single" w:sz="4" w:color="DCE5EE"/>
          <w:insideH w:val="single" w:sz="4" w:color="DCE5EE"/>
          <w:insideV w:val="single" w:sz="4" w:color="DCE5EE"/>
        </w:tblBorders>
      </w:tblPr>
      <w:tblGrid>
        <w:gridCol w:w="2664"/>
        <w:gridCol w:w="2664"/>
        <w:gridCol w:w="2664"/>
        <w:gridCol w:w="2664"/>
      </w:tblGrid>
      <w:tr>
        <w:tc>
          <w:tcPr>
            <w:tcW w:type="dxa" w:w="2664"/>
            <w:shd w:fill="F6F9FC"/>
            <w:tcMar>
              <w:top w:w="110" w:type="dxa"/>
              <w:start w:w="110" w:type="dxa"/>
              <w:bottom w:w="110" w:type="dxa"/>
              <w:end w:w="110" w:type="dxa"/>
            </w:tcMar>
          </w:tcPr>
          <w:p>
            <w:pPr>
              <w:jc w:val="center"/>
            </w:pPr>
            <w:r>
              <w:rPr>
                <w:b/>
                <w:color w:val="123A63"/>
                <w:sz w:val="16"/>
              </w:rPr>
              <w:t>Faster Reporting</w:t>
              <w:br/>
            </w:r>
            <w:r>
              <w:rPr>
                <w:color w:val="6C7A8C"/>
                <w:sz w:val="14"/>
              </w:rPr>
              <w:t>Reduce management reporting turnaround.</w:t>
            </w:r>
          </w:p>
        </w:tc>
        <w:tc>
          <w:tcPr>
            <w:tcW w:type="dxa" w:w="2664"/>
            <w:shd w:fill="F6F9FC"/>
            <w:tcMar>
              <w:top w:w="110" w:type="dxa"/>
              <w:start w:w="110" w:type="dxa"/>
              <w:bottom w:w="110" w:type="dxa"/>
              <w:end w:w="110" w:type="dxa"/>
            </w:tcMar>
          </w:tcPr>
          <w:p>
            <w:pPr>
              <w:jc w:val="center"/>
            </w:pPr>
            <w:r>
              <w:rPr>
                <w:b/>
                <w:color w:val="123A63"/>
                <w:sz w:val="16"/>
              </w:rPr>
              <w:t>Financial Accuracy</w:t>
              <w:br/>
            </w:r>
            <w:r>
              <w:rPr>
                <w:color w:val="6C7A8C"/>
                <w:sz w:val="14"/>
              </w:rPr>
              <w:t>Improve reconciliation and exception visibility.</w:t>
            </w:r>
          </w:p>
        </w:tc>
        <w:tc>
          <w:tcPr>
            <w:tcW w:type="dxa" w:w="2664"/>
            <w:shd w:fill="F6F9FC"/>
            <w:tcMar>
              <w:top w:w="110" w:type="dxa"/>
              <w:start w:w="110" w:type="dxa"/>
              <w:bottom w:w="110" w:type="dxa"/>
              <w:end w:w="110" w:type="dxa"/>
            </w:tcMar>
          </w:tcPr>
          <w:p>
            <w:pPr>
              <w:jc w:val="center"/>
            </w:pPr>
            <w:r>
              <w:rPr>
                <w:b/>
                <w:color w:val="123A63"/>
                <w:sz w:val="16"/>
              </w:rPr>
              <w:t>Founder Visibility</w:t>
              <w:br/>
            </w:r>
            <w:r>
              <w:rPr>
                <w:color w:val="6C7A8C"/>
                <w:sz w:val="14"/>
              </w:rPr>
              <w:t>One management view of financial health.</w:t>
            </w:r>
          </w:p>
        </w:tc>
        <w:tc>
          <w:tcPr>
            <w:tcW w:type="dxa" w:w="2664"/>
            <w:shd w:fill="F6F9FC"/>
            <w:tcMar>
              <w:top w:w="110" w:type="dxa"/>
              <w:start w:w="110" w:type="dxa"/>
              <w:bottom w:w="110" w:type="dxa"/>
              <w:end w:w="110" w:type="dxa"/>
            </w:tcMar>
          </w:tcPr>
          <w:p>
            <w:pPr>
              <w:jc w:val="center"/>
            </w:pPr>
            <w:r>
              <w:rPr>
                <w:b/>
                <w:color w:val="123A63"/>
                <w:sz w:val="16"/>
              </w:rPr>
              <w:t>Scalable Automation</w:t>
              <w:br/>
            </w:r>
            <w:r>
              <w:rPr>
                <w:color w:val="6C7A8C"/>
                <w:sz w:val="14"/>
              </w:rPr>
              <w:t>Move from uploads to scheduled integration after validation.</w:t>
            </w:r>
          </w:p>
        </w:tc>
      </w:tr>
    </w:tbl>
    <w:p>
      <w:pPr>
        <w:spacing w:before="140" w:after="60"/>
        <w:jc w:val="center"/>
      </w:pPr>
      <w:r>
        <w:rPr>
          <w:b/>
          <w:color w:val="0F5D7C"/>
          <w:sz w:val="23"/>
        </w:rPr>
        <w:t>Visibility  →  Reconciliation  →  Intelligence  →  Decision</w:t>
      </w:r>
    </w:p>
    <w:p>
      <w:pPr>
        <w:spacing w:before="0" w:after="0"/>
        <w:jc w:val="center"/>
      </w:pPr>
      <w:r>
        <w:rPr>
          <w:color w:val="6C7A8C"/>
          <w:sz w:val="15"/>
        </w:rPr>
        <w:t>Recommended next step: validate the survey requirements and agree the Phase 1 POC data files, dashboard KPIs and reconciliation rules.</w:t>
      </w:r>
    </w:p>
    <w:sectPr w:rsidR="00FC693F" w:rsidRPr="0006063C" w:rsidSect="00034616">
      <w:footerReference w:type="default" r:id="rId9"/>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C96A0"/>
        <w:sz w:val="14"/>
      </w:rPr>
      <w:t>AINNA Founder Financial Command Centre | Zar Lynx Sdn Bhd | Executive Summary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AINNA Founder Financial Command Centre - Executive Summary</dc:title>
  <dc:subject>Executive Summary for Zar Lynx Sdn Bhd</dc:subject>
  <dc:creator>AINNA</dc:creator>
  <cp:keywords/>
  <dc:description>generated by python-docx</dc:description>
  <cp:lastModifiedBy/>
  <cp:revision>1</cp:revision>
  <dcterms:created xsi:type="dcterms:W3CDTF">2013-12-23T23:15:00Z</dcterms:created>
  <dcterms:modified xsi:type="dcterms:W3CDTF">2013-12-23T23:15:00Z</dcterms:modified>
  <cp:category/>
</cp:coreProperties>
</file>