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Play-bold.ttf" ContentType="application/x-font-ttf"/>
  <Override PartName="/word/fonts/Play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e7d7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e7d7a"/>
          <w:sz w:val="18"/>
          <w:szCs w:val="18"/>
          <w:u w:val="none"/>
          <w:shd w:fill="auto" w:val="clear"/>
          <w:vertAlign w:val="baseline"/>
          <w:rtl w:val="0"/>
        </w:rPr>
        <w:t xml:space="preserve">EXECUTIVE SUMMARY</w:t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10-Day SME Digital</w:t>
        <w:br w:type="textWrapping"/>
        <w:t xml:space="preserve">Transformation Programme</w:t>
      </w:r>
    </w:p>
    <w:p w:rsidR="00000000" w:rsidDel="00000000" w:rsidP="00000000" w:rsidRDefault="00000000" w:rsidRPr="00000000" w14:paraId="00000003">
      <w:pPr>
        <w:pStyle w:val="Subtitle"/>
        <w:rPr/>
      </w:pPr>
      <w:r w:rsidDel="00000000" w:rsidR="00000000" w:rsidRPr="00000000">
        <w:rPr>
          <w:rtl w:val="0"/>
        </w:rPr>
        <w:t xml:space="preserve">Website → Dashboard → E-Commerce → Business System → AI → Automation → Deployment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166.0" w:type="dxa"/>
        <w:jc w:val="center"/>
        <w:tblLayout w:type="fixed"/>
        <w:tblLook w:val="0400"/>
      </w:tblPr>
      <w:tblGrid>
        <w:gridCol w:w="5083"/>
        <w:gridCol w:w="5083"/>
        <w:tblGridChange w:id="0">
          <w:tblGrid>
            <w:gridCol w:w="5083"/>
            <w:gridCol w:w="5083"/>
          </w:tblGrid>
        </w:tblGridChange>
      </w:tblGrid>
      <w:tr>
        <w:trPr>
          <w:cantSplit w:val="0"/>
          <w:tblHeader w:val="0"/>
        </w:trPr>
        <w:tc>
          <w:tcPr>
            <w:shd w:fill="eef4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20"/>
                <w:szCs w:val="20"/>
                <w:rtl w:val="0"/>
              </w:rPr>
              <w:t xml:space="preserve">Prepared for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color w:val="1b1f23"/>
                <w:sz w:val="18"/>
                <w:szCs w:val="18"/>
                <w:rtl w:val="0"/>
              </w:rPr>
              <w:t xml:space="preserve">UPM / MTDC stakeholder discussion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f7f4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20"/>
                <w:szCs w:val="20"/>
                <w:rtl w:val="0"/>
              </w:rPr>
              <w:t xml:space="preserve">Proposed 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color w:val="1b1f23"/>
                <w:sz w:val="18"/>
                <w:szCs w:val="18"/>
                <w:rtl w:val="0"/>
              </w:rPr>
              <w:t xml:space="preserve">AINNA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64.0" w:type="dxa"/>
        <w:jc w:val="center"/>
        <w:tblLayout w:type="fixed"/>
        <w:tblLook w:val="0400"/>
      </w:tblPr>
      <w:tblGrid>
        <w:gridCol w:w="2541"/>
        <w:gridCol w:w="2541"/>
        <w:gridCol w:w="2541"/>
        <w:gridCol w:w="2541"/>
        <w:tblGridChange w:id="0">
          <w:tblGrid>
            <w:gridCol w:w="2541"/>
            <w:gridCol w:w="2541"/>
            <w:gridCol w:w="2541"/>
            <w:gridCol w:w="2541"/>
          </w:tblGrid>
        </w:tblGridChange>
      </w:tblGrid>
      <w:tr>
        <w:trPr>
          <w:cantSplit w:val="0"/>
          <w:tblHeader w:val="0"/>
        </w:trPr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Delivery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Programme Levels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Minimum Companies /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RM12k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Full Programme / Company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7324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7324d"/>
          <w:sz w:val="20"/>
          <w:szCs w:val="20"/>
          <w:u w:val="none"/>
          <w:shd w:fill="auto" w:val="clear"/>
          <w:vertAlign w:val="baseline"/>
          <w:rtl w:val="0"/>
        </w:rPr>
        <w:t xml:space="preserve">Working systems. Not classroom-only training.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9636e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9636e"/>
          <w:sz w:val="16"/>
          <w:szCs w:val="16"/>
          <w:u w:val="none"/>
          <w:shd w:fill="auto" w:val="clear"/>
          <w:vertAlign w:val="baseline"/>
          <w:rtl w:val="0"/>
        </w:rPr>
        <w:t xml:space="preserve">Document status: Draft for Stakeholder Discussion  |  20 September 2026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9636e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9636e"/>
          <w:sz w:val="16"/>
          <w:szCs w:val="16"/>
          <w:u w:val="none"/>
          <w:shd w:fill="auto" w:val="clear"/>
          <w:vertAlign w:val="baseline"/>
          <w:rtl w:val="0"/>
        </w:rPr>
        <w:t xml:space="preserve">References to UPM, MTDC or the UPM-MTDC Technology Centre are for proposal context only and do not constitute formal endorsement, appointment or partnership approval unless separately confirmed.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rPr/>
      </w:pPr>
      <w:r w:rsidDel="00000000" w:rsidR="00000000" w:rsidRPr="00000000">
        <w:rPr>
          <w:rtl w:val="0"/>
        </w:rPr>
        <w:t xml:space="preserve">1. Executive Overview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The 10-Day SME Digital Transformation Programme is a modular, implementation-led programme designed to move participating SMEs from fragmented digital tools to a deployable, company-owned digital operating environment. The programme combines guided learning with hands-on system development so each participating company works on its own website, dashboard, commerce workflow, business modules, AI-assisted processes and automation according to the level selected.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The programme is structured around tangible outputs rather than classroom participation alone. Each level ends with defined quality gates, administrator access, deployment or production-readiness checks, and a clear handover path. Companies may take the full 10-day pathway or enter a later level if they already possess compatible systems and pass readiness assessment.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Decision at a Glance</w:t>
      </w:r>
    </w:p>
    <w:tbl>
      <w:tblPr>
        <w:tblStyle w:val="Table3"/>
        <w:tblW w:w="10164.0" w:type="dxa"/>
        <w:jc w:val="center"/>
        <w:tblLayout w:type="fixed"/>
        <w:tblLook w:val="0400"/>
      </w:tblPr>
      <w:tblGrid>
        <w:gridCol w:w="2541"/>
        <w:gridCol w:w="2541"/>
        <w:gridCol w:w="2541"/>
        <w:gridCol w:w="2541"/>
        <w:tblGridChange w:id="0">
          <w:tblGrid>
            <w:gridCol w:w="2541"/>
            <w:gridCol w:w="2541"/>
            <w:gridCol w:w="2541"/>
            <w:gridCol w:w="2541"/>
          </w:tblGrid>
        </w:tblGridChange>
      </w:tblGrid>
      <w:tr>
        <w:trPr>
          <w:cantSplit w:val="0"/>
          <w:tblHeader w:val="0"/>
        </w:trPr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3 Days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Basic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3 Days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Intermediate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4 Days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Advanced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Day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Demo + Handover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166.0" w:type="dxa"/>
        <w:jc w:val="center"/>
        <w:tblLayout w:type="fixed"/>
        <w:tblLook w:val="0400"/>
      </w:tblPr>
      <w:tblGrid>
        <w:gridCol w:w="5083"/>
        <w:gridCol w:w="5083"/>
        <w:tblGridChange w:id="0">
          <w:tblGrid>
            <w:gridCol w:w="5083"/>
            <w:gridCol w:w="5083"/>
          </w:tblGrid>
        </w:tblGridChange>
      </w:tblGrid>
      <w:tr>
        <w:trPr>
          <w:cantSplit w:val="0"/>
          <w:tblHeader w:val="0"/>
        </w:trPr>
        <w:tc>
          <w:tcPr>
            <w:shd w:fill="eef4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20"/>
                <w:szCs w:val="20"/>
                <w:rtl w:val="0"/>
              </w:rPr>
              <w:t xml:space="preserve">Core proposition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color w:val="1b1f23"/>
                <w:sz w:val="18"/>
                <w:szCs w:val="18"/>
                <w:rtl w:val="0"/>
              </w:rPr>
              <w:t xml:space="preserve">Build, secure, deploy and operate a practical SME digital system using the company’s own information and workflows.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f7f4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20"/>
                <w:szCs w:val="20"/>
                <w:rtl w:val="0"/>
              </w:rPr>
              <w:t xml:space="preserve">Commercial model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color w:val="1b1f23"/>
                <w:sz w:val="18"/>
                <w:szCs w:val="18"/>
                <w:rtl w:val="0"/>
              </w:rPr>
              <w:t>RM12,000 programme fee per company for the full 10-day pathway, plus infrastructure and optional AI deployment as separately stated.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Why This Programme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SMEs often accumulate disconnected websites, spreadsheets, marketplaces, messaging channels and AI subscriptions without an integrated operating model.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staged programme creates a practical sequence: digital foundation → commerce → operational modules → AI and automation → production handover.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modular model avoids forcing every SME into the same system scope; Advanced modules are selected according to confirmed requirements and available data.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programme is designed to create capability inside the participating company, with a nominated administrator and a 30/60/90-day continuity roadmap.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rPr/>
      </w:pPr>
      <w:r w:rsidDel="00000000" w:rsidR="00000000" w:rsidRPr="00000000">
        <w:rPr>
          <w:rtl w:val="0"/>
        </w:rPr>
        <w:t xml:space="preserve">2. Programme Structure and Outcomes</w:t>
      </w:r>
    </w:p>
    <w:tbl>
      <w:tblPr>
        <w:tblStyle w:val="Table5"/>
        <w:tblW w:w="10165.0" w:type="dxa"/>
        <w:jc w:val="center"/>
        <w:tblLayout w:type="fixed"/>
        <w:tblLook w:val="0400"/>
      </w:tblPr>
      <w:tblGrid>
        <w:gridCol w:w="2033"/>
        <w:gridCol w:w="2033"/>
        <w:gridCol w:w="2033"/>
        <w:gridCol w:w="2033"/>
        <w:gridCol w:w="2033"/>
        <w:tblGridChange w:id="0">
          <w:tblGrid>
            <w:gridCol w:w="2033"/>
            <w:gridCol w:w="2033"/>
            <w:gridCol w:w="2033"/>
            <w:gridCol w:w="2033"/>
            <w:gridCol w:w="2033"/>
          </w:tblGrid>
        </w:tblGridChange>
      </w:tblGrid>
      <w:tr>
        <w:trPr>
          <w:cantSplit w:val="0"/>
          <w:tblHeader w:val="1"/>
        </w:trPr>
        <w:tc>
          <w:tcPr>
            <w:shd w:fill="17324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24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Duration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24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Fee /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24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Primary Focus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24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Key Output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Basic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 Days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RM3,000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Website, SEO, security, dashboard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Deployed business website + dashboard foundation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Intermediate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 Days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</w:t>
            </w:r>
            <w:r w:rsidDel="00000000" w:rsidR="00000000" w:rsidRPr="00000000">
              <w:rPr>
                <w:color w:val="1b1f23"/>
                <w:sz w:val="16"/>
                <w:szCs w:val="16"/>
                <w:rtl w:val="0"/>
              </w:rPr>
              <w:t xml:space="preserve">4,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000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E-commerce architecture and workflow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Catalogue, cart/checkout, orders and commerce admin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Advanced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 Days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RM5,000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Business modules, AI, automation, integration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Selected operational system + AI-assisted workflow + handover</w:t>
            </w:r>
          </w:p>
        </w:tc>
      </w:tr>
    </w:tbl>
    <w:p w:rsidR="00000000" w:rsidDel="00000000" w:rsidP="00000000" w:rsidRDefault="00000000" w:rsidRPr="00000000" w14:paraId="00000043">
      <w:pPr>
        <w:pStyle w:val="Heading2"/>
        <w:rPr/>
      </w:pPr>
      <w:r w:rsidDel="00000000" w:rsidR="00000000" w:rsidRPr="00000000">
        <w:rPr>
          <w:rtl w:val="0"/>
        </w:rPr>
        <w:t xml:space="preserve">10-Day Delivery Sequence</w:t>
      </w:r>
    </w:p>
    <w:p w:rsidR="00000000" w:rsidDel="00000000" w:rsidP="00000000" w:rsidRDefault="00000000" w:rsidRPr="00000000" w14:paraId="00000044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1 — </w:t>
      </w:r>
      <w:r w:rsidDel="00000000" w:rsidR="00000000" w:rsidRPr="00000000">
        <w:rPr>
          <w:rtl w:val="0"/>
        </w:rPr>
        <w:t xml:space="preserve">Business foundation, website architecture, SEO and security</w:t>
      </w:r>
    </w:p>
    <w:p w:rsidR="00000000" w:rsidDel="00000000" w:rsidP="00000000" w:rsidRDefault="00000000" w:rsidRPr="00000000" w14:paraId="00000045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2 — </w:t>
      </w:r>
      <w:r w:rsidDel="00000000" w:rsidR="00000000" w:rsidRPr="00000000">
        <w:rPr>
          <w:rtl w:val="0"/>
        </w:rPr>
        <w:t xml:space="preserve">Website build and content</w:t>
      </w:r>
    </w:p>
    <w:p w:rsidR="00000000" w:rsidDel="00000000" w:rsidP="00000000" w:rsidRDefault="00000000" w:rsidRPr="00000000" w14:paraId="00000046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3 — </w:t>
      </w:r>
      <w:r w:rsidDel="00000000" w:rsidR="00000000" w:rsidRPr="00000000">
        <w:rPr>
          <w:rtl w:val="0"/>
        </w:rPr>
        <w:t xml:space="preserve">Dashboard, validation, deployment and admin training</w:t>
      </w:r>
    </w:p>
    <w:p w:rsidR="00000000" w:rsidDel="00000000" w:rsidP="00000000" w:rsidRDefault="00000000" w:rsidRPr="00000000" w14:paraId="00000047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4 — </w:t>
      </w:r>
      <w:r w:rsidDel="00000000" w:rsidR="00000000" w:rsidRPr="00000000">
        <w:rPr>
          <w:rtl w:val="0"/>
        </w:rPr>
        <w:t xml:space="preserve">E-commerce architecture</w:t>
      </w:r>
    </w:p>
    <w:p w:rsidR="00000000" w:rsidDel="00000000" w:rsidP="00000000" w:rsidRDefault="00000000" w:rsidRPr="00000000" w14:paraId="00000048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5 — </w:t>
      </w:r>
      <w:r w:rsidDel="00000000" w:rsidR="00000000" w:rsidRPr="00000000">
        <w:rPr>
          <w:rtl w:val="0"/>
        </w:rPr>
        <w:t xml:space="preserve">E-commerce build</w:t>
      </w:r>
    </w:p>
    <w:p w:rsidR="00000000" w:rsidDel="00000000" w:rsidP="00000000" w:rsidRDefault="00000000" w:rsidRPr="00000000" w14:paraId="00000049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6 — </w:t>
      </w:r>
      <w:r w:rsidDel="00000000" w:rsidR="00000000" w:rsidRPr="00000000">
        <w:rPr>
          <w:rtl w:val="0"/>
        </w:rPr>
        <w:t xml:space="preserve">Commerce integration, testing and deployment</w:t>
      </w:r>
    </w:p>
    <w:p w:rsidR="00000000" w:rsidDel="00000000" w:rsidP="00000000" w:rsidRDefault="00000000" w:rsidRPr="00000000" w14:paraId="0000004A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7 — </w:t>
      </w:r>
      <w:r w:rsidDel="00000000" w:rsidR="00000000" w:rsidRPr="00000000">
        <w:rPr>
          <w:rtl w:val="0"/>
        </w:rPr>
        <w:t xml:space="preserve">Business system architecture</w:t>
      </w:r>
    </w:p>
    <w:p w:rsidR="00000000" w:rsidDel="00000000" w:rsidP="00000000" w:rsidRDefault="00000000" w:rsidRPr="00000000" w14:paraId="0000004B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8 — </w:t>
      </w:r>
      <w:r w:rsidDel="00000000" w:rsidR="00000000" w:rsidRPr="00000000">
        <w:rPr>
          <w:rtl w:val="0"/>
        </w:rPr>
        <w:t xml:space="preserve">Selected operational modules</w:t>
      </w:r>
    </w:p>
    <w:p w:rsidR="00000000" w:rsidDel="00000000" w:rsidP="00000000" w:rsidRDefault="00000000" w:rsidRPr="00000000" w14:paraId="0000004C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9 — </w:t>
      </w:r>
      <w:r w:rsidDel="00000000" w:rsidR="00000000" w:rsidRPr="00000000">
        <w:rPr>
          <w:rtl w:val="0"/>
        </w:rPr>
        <w:t xml:space="preserve">AI, automation and integration</w:t>
      </w:r>
    </w:p>
    <w:p w:rsidR="00000000" w:rsidDel="00000000" w:rsidP="00000000" w:rsidRDefault="00000000" w:rsidRPr="00000000" w14:paraId="0000004D">
      <w:pPr>
        <w:spacing w:after="40" w:lineRule="auto"/>
        <w:rPr/>
      </w:pPr>
      <w:r w:rsidDel="00000000" w:rsidR="00000000" w:rsidRPr="00000000">
        <w:rPr>
          <w:b w:val="1"/>
          <w:bCs w:val="1"/>
          <w:color w:val="1f5a94"/>
          <w:rtl w:val="0"/>
        </w:rPr>
        <w:t xml:space="preserve">Day 10 — </w:t>
      </w:r>
      <w:r w:rsidDel="00000000" w:rsidR="00000000" w:rsidRPr="00000000">
        <w:rPr>
          <w:rtl w:val="0"/>
        </w:rPr>
        <w:t xml:space="preserve">Final testing, deployment, live demo, administrator training and official handover</w:t>
      </w:r>
    </w:p>
    <w:p w:rsidR="00000000" w:rsidDel="00000000" w:rsidP="00000000" w:rsidRDefault="00000000" w:rsidRPr="00000000" w14:paraId="0000004E">
      <w:pPr>
        <w:pStyle w:val="Heading2"/>
        <w:rPr/>
      </w:pPr>
      <w:r w:rsidDel="00000000" w:rsidR="00000000" w:rsidRPr="00000000">
        <w:rPr>
          <w:rtl w:val="0"/>
        </w:rPr>
        <w:t xml:space="preserve">Expected Company Deliverables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Working business website with SEO and security foundations.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Management dashboard and controlled administrator access.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E-commerce capability where Intermediate is selected.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Selected business modules based on confirmed Advanced-level requirements.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AI-assisted workflows and automation where technically appropriate.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Production deployment, administrator training, documentation and handover.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30/60/90-day implementation roadmap for continued adoption and improvement.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rPr/>
      </w:pPr>
      <w:r w:rsidDel="00000000" w:rsidR="00000000" w:rsidRPr="00000000">
        <w:rPr>
          <w:rtl w:val="0"/>
        </w:rPr>
        <w:t xml:space="preserve">3. Commercial Structure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The commercial model deliberately separates programme delivery, infrastructure and optional AI deployment so participating companies can see what is compulsory and what is optional.</w:t>
      </w:r>
    </w:p>
    <w:tbl>
      <w:tblPr>
        <w:tblStyle w:val="Table6"/>
        <w:tblW w:w="10167.0" w:type="dxa"/>
        <w:jc w:val="center"/>
        <w:tblLayout w:type="fixed"/>
        <w:tblLook w:val="0400"/>
      </w:tblPr>
      <w:tblGrid>
        <w:gridCol w:w="3389"/>
        <w:gridCol w:w="3389"/>
        <w:gridCol w:w="3389"/>
        <w:tblGridChange w:id="0">
          <w:tblGrid>
            <w:gridCol w:w="3389"/>
            <w:gridCol w:w="3389"/>
            <w:gridCol w:w="3389"/>
          </w:tblGrid>
        </w:tblGridChange>
      </w:tblGrid>
      <w:tr>
        <w:trPr>
          <w:cantSplit w:val="0"/>
          <w:tblHeader w:val="1"/>
        </w:trPr>
        <w:tc>
          <w:tcPr>
            <w:shd w:fill="17324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24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24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Commercial Treatment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Basic — 3 days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RM3,000 / company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Programme fee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Intermediate — 3 days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</w:t>
            </w:r>
            <w:r w:rsidDel="00000000" w:rsidR="00000000" w:rsidRPr="00000000">
              <w:rPr>
                <w:color w:val="1b1f23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,000 / company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Programme fee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Advanced — 4 days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RM5,000 / company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Programme fee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Full programme — 10 days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>RM12,000 / company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Programme fee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Year 1 infrastructure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RM500 / company / year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Required for hosted programme environment where applicable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Standard Year-1 total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RM1</w:t>
            </w:r>
            <w:r w:rsidDel="00000000" w:rsidR="00000000" w:rsidRPr="00000000">
              <w:rPr>
                <w:color w:val="1b1f23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,500 / company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Full programme + Year 1 infrastructure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Optional initial AI model deployment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RM1,200 / company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Optional add-on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Year-1 total with optional AI deployment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RM1</w:t>
            </w:r>
            <w:r w:rsidDel="00000000" w:rsidR="00000000" w:rsidRPr="00000000">
              <w:rPr>
                <w:color w:val="1b1f23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,700 / company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Only where optional AI deployment is selected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Year 2+ infrastructure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RM1,000 / company / year</w:t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1b1f2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Infrastructure only; AI model not included</w:t>
            </w:r>
          </w:p>
        </w:tc>
      </w:tr>
    </w:tbl>
    <w:p w:rsidR="00000000" w:rsidDel="00000000" w:rsidP="00000000" w:rsidRDefault="00000000" w:rsidRPr="00000000" w14:paraId="00000077">
      <w:pPr>
        <w:pStyle w:val="Heading2"/>
        <w:rPr/>
      </w:pPr>
      <w:r w:rsidDel="00000000" w:rsidR="00000000" w:rsidRPr="00000000">
        <w:rPr>
          <w:rtl w:val="0"/>
        </w:rPr>
        <w:t xml:space="preserve">Minimum Cohort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Commercial rates are based on a minimum of 10 participating companies per programme level. Companies may participate modularly, subject to prerequisites and readiness assessment.</w:t>
      </w:r>
    </w:p>
    <w:p w:rsidR="00000000" w:rsidDel="00000000" w:rsidP="00000000" w:rsidRDefault="00000000" w:rsidRPr="00000000" w14:paraId="00000079">
      <w:pPr>
        <w:pStyle w:val="Heading2"/>
        <w:rPr/>
      </w:pPr>
      <w:r w:rsidDel="00000000" w:rsidR="00000000" w:rsidRPr="00000000">
        <w:rPr>
          <w:rtl w:val="0"/>
        </w:rPr>
        <w:t xml:space="preserve">Illustrative Minimum Cohort Value</w:t>
      </w:r>
    </w:p>
    <w:tbl>
      <w:tblPr>
        <w:tblStyle w:val="Table7"/>
        <w:tblW w:w="10164.0" w:type="dxa"/>
        <w:jc w:val="center"/>
        <w:tblLayout w:type="fixed"/>
        <w:tblLook w:val="0400"/>
      </w:tblPr>
      <w:tblGrid>
        <w:gridCol w:w="2541"/>
        <w:gridCol w:w="2541"/>
        <w:gridCol w:w="2541"/>
        <w:gridCol w:w="2541"/>
        <w:tblGridChange w:id="0">
          <w:tblGrid>
            <w:gridCol w:w="2541"/>
            <w:gridCol w:w="2541"/>
            <w:gridCol w:w="2541"/>
            <w:gridCol w:w="2541"/>
          </w:tblGrid>
        </w:tblGridChange>
      </w:tblGrid>
      <w:tr>
        <w:trPr>
          <w:cantSplit w:val="0"/>
          <w:tblHeader w:val="0"/>
        </w:trPr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RM30k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Basic / 10 Companies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RM40k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Intermediate / 10 Companies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RM50k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Advanced / 10 Companies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6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32"/>
                <w:szCs w:val="32"/>
                <w:rtl w:val="0"/>
              </w:rPr>
              <w:t xml:space="preserve">RM120k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Lines w:val="1"/>
              <w:spacing w:after="40" w:lineRule="auto"/>
              <w:jc w:val="center"/>
              <w:rPr/>
            </w:pPr>
            <w:r w:rsidDel="00000000" w:rsidR="00000000" w:rsidRPr="00000000">
              <w:rPr>
                <w:color w:val="59636e"/>
                <w:sz w:val="16"/>
                <w:szCs w:val="16"/>
                <w:rtl w:val="0"/>
              </w:rPr>
              <w:t xml:space="preserve">Full Programme Fees / 10 Companies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pStyle w:val="Heading2"/>
        <w:rPr/>
      </w:pPr>
      <w:r w:rsidDel="00000000" w:rsidR="00000000" w:rsidRPr="00000000">
        <w:rPr>
          <w:rtl w:val="0"/>
        </w:rPr>
        <w:t xml:space="preserve">Excluded / Quoted Separately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Domain registration and renewal.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Payment gateway, merchant and transaction fees.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Third-party APIs, external AI/LLM usage, SaaS subscriptions and premium licences.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Additional storage, GPU or non-standard compute requirements.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Custom integrations, migration or bespoke modules outside the agreed scope.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rPr/>
      </w:pPr>
      <w:r w:rsidDel="00000000" w:rsidR="00000000" w:rsidRPr="00000000">
        <w:rPr>
          <w:rtl w:val="0"/>
        </w:rPr>
        <w:t xml:space="preserve">4. Delivery Governance, Quality and Responsible AI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Each level is completed through practical quality gates rather than attendance alone. Applicable checks include functional testing, mobile validation, access-control testing, security review, workflow testing, data validation, backup verification, deployment verification and administrator acceptance.</w:t>
      </w:r>
    </w:p>
    <w:p w:rsidR="00000000" w:rsidDel="00000000" w:rsidP="00000000" w:rsidRDefault="00000000" w:rsidRPr="00000000" w14:paraId="0000008A">
      <w:pPr>
        <w:pStyle w:val="Heading2"/>
        <w:rPr/>
      </w:pPr>
      <w:r w:rsidDel="00000000" w:rsidR="00000000" w:rsidRPr="00000000">
        <w:rPr>
          <w:rtl w:val="0"/>
        </w:rPr>
        <w:t xml:space="preserve">AI and Automation Controls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 is used selectively where it improves the workflow; it is not forced into every task.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Access should remain permission-controlled and limited to approved business data.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 output remains subject to human review for operational decisions.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AI Agent is positioned as an operational support and automation layer, not an unrestricted replacement for staff.</w:t>
      </w:r>
    </w:p>
    <w:p w:rsidR="00000000" w:rsidDel="00000000" w:rsidP="00000000" w:rsidRDefault="00000000" w:rsidRPr="00000000" w14:paraId="0000008F">
      <w:pPr>
        <w:pStyle w:val="Heading2"/>
        <w:rPr/>
      </w:pPr>
      <w:r w:rsidDel="00000000" w:rsidR="00000000" w:rsidRPr="00000000">
        <w:rPr>
          <w:rtl w:val="0"/>
        </w:rPr>
        <w:t xml:space="preserve">Infrastructure and Model Choice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Year 1 infrastructure: RM500 per company per year.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Year 2+ infrastructure: RM1,000 per company per year.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Optional initial AI deployment: RM1,200 per company, which may include Ollama environment, Luna GPT / supported model, initial runtime configuration, basic integration and deployment.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From Year 2 onward, AI model/provider selection is separated from infrastructure. Companies may continue with a compatible local/open-source model, select an external provider, or subscribe to a future AINNA-managed model when commercially available. No future AI subscription price is fixed in this proposal.</w:t>
      </w:r>
    </w:p>
    <w:p w:rsidR="00000000" w:rsidDel="00000000" w:rsidP="00000000" w:rsidRDefault="00000000" w:rsidRPr="00000000" w14:paraId="00000094">
      <w:pPr>
        <w:pStyle w:val="Heading1"/>
        <w:rPr/>
      </w:pPr>
      <w:r w:rsidDel="00000000" w:rsidR="00000000" w:rsidRPr="00000000">
        <w:rPr>
          <w:rtl w:val="0"/>
        </w:rPr>
        <w:t xml:space="preserve">5. Proposed Stakeholder Decision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To progress from proposal to implementation, the following decisions are required: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programme sponsor, programme owner and formal approval pathway.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final branding after approval: AINNA, MTDC × AINNA, or UPM × MTDC × AINNA.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target SME cohort, participant profile and whether participation is by level or full 10-day pathway.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delivery calendar, venue and module scheduling.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Approve the commercial structure, infrastructure model and any additional logistics/venue costs.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Approve the participant readiness process so company data, content and operating requirements are collected before delivery.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the final statement of work covering intellectual property, source-code access, hosting ownership, support and out-of-scope change control.</w:t>
      </w:r>
    </w:p>
    <w:p w:rsidR="00000000" w:rsidDel="00000000" w:rsidP="00000000" w:rsidRDefault="00000000" w:rsidRPr="00000000" w14:paraId="0000009D">
      <w:pPr>
        <w:pStyle w:val="Heading2"/>
        <w:rPr/>
      </w:pPr>
      <w:r w:rsidDel="00000000" w:rsidR="00000000" w:rsidRPr="00000000">
        <w:rPr>
          <w:rtl w:val="0"/>
        </w:rPr>
        <w:t xml:space="preserve">Recommended Programme Positioning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7324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7324d"/>
          <w:sz w:val="20"/>
          <w:szCs w:val="20"/>
          <w:u w:val="none"/>
          <w:shd w:fill="auto" w:val="clear"/>
          <w:vertAlign w:val="baseline"/>
          <w:rtl w:val="0"/>
        </w:rPr>
        <w:t xml:space="preserve">LEARN → BUILD → SECURE → DEPLOY → OPERATE</w:t>
      </w:r>
    </w:p>
    <w:p w:rsidR="00000000" w:rsidDel="00000000" w:rsidP="00000000" w:rsidRDefault="00000000" w:rsidRPr="00000000" w14:paraId="0000009F">
      <w:pPr>
        <w:jc w:val="center"/>
        <w:rPr/>
      </w:pPr>
      <w:r w:rsidDel="00000000" w:rsidR="00000000" w:rsidRPr="00000000">
        <w:rPr>
          <w:b w:val="1"/>
          <w:bCs w:val="1"/>
          <w:color w:val="17324d"/>
          <w:rtl w:val="0"/>
        </w:rPr>
        <w:t xml:space="preserve">Each participating company builds, deploys and operates its own working digital business system.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2"/>
        <w:rPr/>
      </w:pPr>
      <w:r w:rsidDel="00000000" w:rsidR="00000000" w:rsidRPr="00000000">
        <w:rPr>
          <w:rtl w:val="0"/>
        </w:rPr>
        <w:t xml:space="preserve">Programme Snapshot</w:t>
      </w:r>
    </w:p>
    <w:tbl>
      <w:tblPr>
        <w:tblStyle w:val="Table8"/>
        <w:tblW w:w="10166.0" w:type="dxa"/>
        <w:jc w:val="center"/>
        <w:tblLayout w:type="fixed"/>
        <w:tblLook w:val="0400"/>
      </w:tblPr>
      <w:tblGrid>
        <w:gridCol w:w="5083"/>
        <w:gridCol w:w="5083"/>
        <w:tblGridChange w:id="0">
          <w:tblGrid>
            <w:gridCol w:w="5083"/>
            <w:gridCol w:w="5083"/>
          </w:tblGrid>
        </w:tblGridChange>
      </w:tblGrid>
      <w:tr>
        <w:trPr>
          <w:cantSplit w:val="0"/>
          <w:tblHeader w:val="0"/>
        </w:trPr>
        <w:tc>
          <w:tcPr>
            <w:shd w:fill="eef4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20"/>
                <w:szCs w:val="20"/>
                <w:rtl w:val="0"/>
              </w:rPr>
              <w:t xml:space="preserve">Standard full pathway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color w:val="1b1f23"/>
                <w:sz w:val="18"/>
                <w:szCs w:val="18"/>
                <w:rtl w:val="0"/>
              </w:rPr>
              <w:t xml:space="preserve">10 delivery days | RM12,000 programme fee | RM500 Year-1 infrastructure | RM12,500 standard Year-1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f7f4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7324d"/>
                <w:sz w:val="20"/>
                <w:szCs w:val="20"/>
                <w:rtl w:val="0"/>
              </w:rPr>
              <w:t xml:space="preserve">With optional AI deployment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Lines w:val="1"/>
              <w:spacing w:after="40" w:lineRule="auto"/>
              <w:rPr/>
            </w:pPr>
            <w:r w:rsidDel="00000000" w:rsidR="00000000" w:rsidRPr="00000000">
              <w:rPr>
                <w:color w:val="1b1f23"/>
                <w:sz w:val="18"/>
                <w:szCs w:val="18"/>
                <w:rtl w:val="0"/>
              </w:rPr>
              <w:t xml:space="preserve">Add RM1,200/company | RM13,700 Year-1 total where selected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936" w:top="936" w:left="1037" w:right="103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 |   Draft for Stakeholder Discussion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59636e"/>
        <w:sz w:val="16"/>
        <w:szCs w:val="16"/>
        <w:u w:val="none"/>
        <w:shd w:fill="auto" w:val="clear"/>
        <w:vertAlign w:val="baseline"/>
        <w:rtl w:val="0"/>
      </w:rPr>
      <w:t xml:space="preserve">AINNA  |  10-Day SME Digital Transformation Programme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12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40" w:lineRule="auto"/>
    </w:pPr>
    <w:rPr>
      <w:rFonts w:ascii="Play" w:cs="Play" w:eastAsia="Play" w:hAnsi="Play"/>
      <w:b w:val="1"/>
      <w:bCs w:val="1"/>
      <w:color w:val="17324d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b w:val="1"/>
      <w:bCs w:val="1"/>
      <w:color w:val="1f5a9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120" w:lineRule="auto"/>
    </w:pPr>
    <w:rPr>
      <w:rFonts w:ascii="Aptos" w:cs="Aptos" w:eastAsia="Aptos" w:hAnsi="Aptos"/>
      <w:b w:val="1"/>
      <w:bCs w:val="1"/>
      <w:color w:val="2e7d7a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20" w:before="0" w:line="240" w:lineRule="auto"/>
    </w:pPr>
    <w:rPr>
      <w:rFonts w:ascii="Play" w:cs="Play" w:eastAsia="Play" w:hAnsi="Play"/>
      <w:b w:val="1"/>
      <w:bCs w:val="1"/>
      <w:color w:val="17324d"/>
      <w:sz w:val="60"/>
      <w:szCs w:val="60"/>
    </w:rPr>
  </w:style>
  <w:style w:type="paragraph" w:styleId="Subtitle">
    <w:name w:val="Subtitle"/>
    <w:basedOn w:val="Normal"/>
    <w:next w:val="Normal"/>
    <w:pPr>
      <w:spacing w:after="80" w:lineRule="auto"/>
    </w:pPr>
    <w:rPr>
      <w:rFonts w:ascii="Aptos" w:cs="Aptos" w:eastAsia="Aptos" w:hAnsi="Aptos"/>
      <w:b w:val="0"/>
      <w:bCs w:val="0"/>
      <w:i w:val="0"/>
      <w:iCs w:val="0"/>
      <w:color w:val="59636e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