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C8102E"/>
          <w:sz w:val="18"/>
        </w:rPr>
        <w:t>PROPOSED MARA × AINNA PILOT PROGRAMME</w:t>
      </w:r>
    </w:p>
    <w:p>
      <w:pPr>
        <w:spacing w:after="40"/>
        <w:jc w:val="center"/>
      </w:pPr>
      <w:r>
        <w:rPr>
          <w:b/>
          <w:color w:val="1F2937"/>
          <w:sz w:val="52"/>
        </w:rPr>
        <w:t>EXECUTIVE SUMMARY</w:t>
      </w:r>
    </w:p>
    <w:p>
      <w:pPr>
        <w:spacing w:after="180"/>
        <w:jc w:val="center"/>
      </w:pPr>
      <w:r>
        <w:rPr>
          <w:b/>
          <w:color w:val="C8102E"/>
          <w:sz w:val="26"/>
        </w:rPr>
        <w:t>MARA × AINNA — 30 SME AI Transformation Pilot Programme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556"/>
        <w:gridCol w:w="2556"/>
        <w:gridCol w:w="2556"/>
        <w:gridCol w:w="2556"/>
      </w:tblGrid>
      <w:tr>
        <w:tc>
          <w:tcPr>
            <w:tcW w:type="dxa" w:w="2347"/>
            <w:shd w:fill="C8102E"/>
            <w:tcMar>
              <w:top w:w="110" w:type="dxa"/>
              <w:start w:w="85" w:type="dxa"/>
              <w:bottom w:w="110" w:type="dxa"/>
              <w:end w:w="85" w:type="dxa"/>
            </w:tcMar>
            <w:vAlign w:val="center"/>
          </w:tcPr>
          <w:p>
            <w:pPr>
              <w:jc w:val="center"/>
            </w:pPr>
            <w:r>
              <w:rPr>
                <w:b/>
                <w:color w:val="FFFFFF"/>
                <w:sz w:val="34"/>
              </w:rPr>
              <w:t>30</w:t>
            </w:r>
          </w:p>
          <w:p>
            <w:pPr>
              <w:spacing w:after="0"/>
              <w:jc w:val="center"/>
            </w:pPr>
            <w:r>
              <w:rPr>
                <w:b/>
                <w:color w:val="FFFFFF"/>
                <w:sz w:val="17"/>
              </w:rPr>
              <w:t>SMEs</w:t>
            </w:r>
          </w:p>
        </w:tc>
        <w:tc>
          <w:tcPr>
            <w:tcW w:type="dxa" w:w="2347"/>
            <w:shd w:fill="F6F7F9"/>
            <w:tcMar>
              <w:top w:w="110" w:type="dxa"/>
              <w:start w:w="85" w:type="dxa"/>
              <w:bottom w:w="110" w:type="dxa"/>
              <w:end w:w="85" w:type="dxa"/>
            </w:tcMar>
            <w:vAlign w:val="center"/>
          </w:tcPr>
          <w:p>
            <w:pPr>
              <w:jc w:val="center"/>
            </w:pPr>
            <w:r>
              <w:rPr>
                <w:b/>
                <w:color w:val="1F2937"/>
                <w:sz w:val="34"/>
              </w:rPr>
              <w:t>30</w:t>
            </w:r>
          </w:p>
          <w:p>
            <w:pPr>
              <w:spacing w:after="0"/>
              <w:jc w:val="center"/>
            </w:pPr>
            <w:r>
              <w:rPr>
                <w:b/>
                <w:color w:val="475569"/>
                <w:sz w:val="17"/>
              </w:rPr>
              <w:t>AI Agents</w:t>
            </w:r>
          </w:p>
        </w:tc>
        <w:tc>
          <w:tcPr>
            <w:tcW w:type="dxa" w:w="2563"/>
            <w:shd w:fill="F6F7F9"/>
            <w:tcMar>
              <w:top w:w="110" w:type="dxa"/>
              <w:start w:w="85" w:type="dxa"/>
              <w:bottom w:w="110" w:type="dxa"/>
              <w:end w:w="85" w:type="dxa"/>
            </w:tcMar>
            <w:vAlign w:val="center"/>
          </w:tcPr>
          <w:p>
            <w:pPr>
              <w:jc w:val="center"/>
            </w:pPr>
            <w:r>
              <w:rPr>
                <w:b/>
                <w:color w:val="1F2937"/>
                <w:sz w:val="34"/>
              </w:rPr>
              <w:t>30</w:t>
            </w:r>
          </w:p>
          <w:p>
            <w:pPr>
              <w:spacing w:after="0"/>
              <w:jc w:val="center"/>
            </w:pPr>
            <w:r>
              <w:rPr>
                <w:b/>
                <w:color w:val="475569"/>
                <w:sz w:val="17"/>
              </w:rPr>
              <w:t>Working Business</w:t>
              <w:br/>
              <w:t>Systems</w:t>
            </w:r>
          </w:p>
        </w:tc>
        <w:tc>
          <w:tcPr>
            <w:tcW w:type="dxa" w:w="2520"/>
            <w:shd w:fill="F6F7F9"/>
            <w:tcMar>
              <w:top w:w="110" w:type="dxa"/>
              <w:start w:w="85" w:type="dxa"/>
              <w:bottom w:w="110" w:type="dxa"/>
              <w:end w:w="85" w:type="dxa"/>
            </w:tcMar>
            <w:vAlign w:val="center"/>
          </w:tcPr>
          <w:p>
            <w:pPr>
              <w:jc w:val="center"/>
            </w:pPr>
            <w:r>
              <w:rPr>
                <w:b/>
                <w:color w:val="1F2937"/>
                <w:sz w:val="34"/>
              </w:rPr>
              <w:t>12 Months</w:t>
            </w:r>
          </w:p>
          <w:p>
            <w:pPr>
              <w:spacing w:after="0"/>
              <w:jc w:val="center"/>
            </w:pPr>
            <w:r>
              <w:rPr>
                <w:b/>
                <w:color w:val="475569"/>
                <w:sz w:val="17"/>
              </w:rPr>
              <w:t>Infrastructure</w:t>
            </w:r>
          </w:p>
        </w:tc>
      </w:tr>
    </w:tbl>
    <w:p>
      <w:pPr>
        <w:spacing w:after="0"/>
      </w:pPr>
    </w:p>
    <w:p>
      <w:pPr>
        <w:spacing w:after="120"/>
      </w:pPr>
      <w:r>
        <w:t>AINNA mencadangkan pelaksanaan MARA × AINNA — 30 SME AI Transformation Pilot Programme, satu program pemerkasaan usahawan yang memberi fokus kepada penggunaan Agent AI sebagai digital execution partner untuk membantu SME membina, mengurus dan menambah baik operasi perniagaan sebenar.</w:t>
      </w:r>
    </w:p>
    <w:p>
      <w:pPr>
        <w:spacing w:after="120"/>
      </w:pPr>
      <w:r>
        <w:t>Berbeza daripada program AI yang hanya memberi pendedahan atau latihan penggunaan tools, program ini menggunakan pendekatan TRAIN → BUILD → DEPLOY → OPERATE → IMPROVE. Setiap peserta menggunakan perniagaan sebenar mereka sebagai asas pembangunan dan menghasilkan working digital assets serta business systems yang boleh terus digunakan selepas latihan tamat.</w:t>
      </w:r>
    </w:p>
    <w:p>
      <w:pPr>
        <w:spacing w:after="120"/>
      </w:pPr>
      <w:r>
        <w:t>Bagi pilot ini, seramai 30 SME dicadangkan untuk menyertai program. Setiap SME akan menerima akses kepada AINNA Agent AI environment, pembangunan website atau digital business system, modul pengurusan seperti sales, CRM, inventory dan finance, management dashboard, automation workflow, AI-assisted business audit serta cloud infrastructure sehingga 12 bulan.</w:t>
      </w:r>
    </w:p>
    <w:p>
      <w:pPr>
        <w:spacing w:after="120"/>
      </w:pPr>
      <w:r>
        <w:t>Program dicadangkan dilaksanakan secara hands-on selama 11 hari, merangkumi pembangunan website, e-commerce atau ordering system, business audit, management dashboard, automation dan final deployment. Peserta bukan hanya mempelajari teknologi, tetapi menggunakan Agent AI untuk menghasilkan sistem yang berkaitan secara langsung dengan keperluan perniagaan masing-masing.</w:t>
      </w:r>
    </w:p>
    <w:p>
      <w:pPr>
        <w:spacing w:before="60" w:after="100"/>
      </w:pPr>
      <w:r>
        <w:rPr>
          <w:b/>
          <w:color w:val="C8102E"/>
          <w:sz w:val="28"/>
        </w:rPr>
        <w:t>APA YANG SETIAP SME AKAN DAPAT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3096"/>
            <w:tcMar>
              <w:top w:w="65" w:type="dxa"/>
              <w:start w:w="90" w:type="dxa"/>
              <w:bottom w:w="65" w:type="dxa"/>
              <w:end w:w="90" w:type="dxa"/>
            </w:tcMar>
            <w:shd w:fill="FFFFFF"/>
          </w:tcPr>
          <w:p>
            <w:r>
              <w:rPr>
                <w:b/>
                <w:color w:val="1F2937"/>
                <w:sz w:val="18"/>
              </w:rPr>
              <w:t>AINNA Agent AI Environment</w:t>
            </w:r>
          </w:p>
        </w:tc>
        <w:tc>
          <w:tcPr>
            <w:tcW w:type="dxa" w:w="7128"/>
            <w:tcMar>
              <w:top w:w="65" w:type="dxa"/>
              <w:start w:w="90" w:type="dxa"/>
              <w:bottom w:w="65" w:type="dxa"/>
              <w:end w:w="90" w:type="dxa"/>
            </w:tcMar>
            <w:shd w:fill="FFFFFF"/>
          </w:tcPr>
          <w:p>
            <w:r>
              <w:rPr>
                <w:color w:val="475569"/>
                <w:sz w:val="18"/>
              </w:rPr>
              <w:t>AI execution workspace untuk membantu planning, building, auditing, analysis dan automation.</w:t>
            </w:r>
          </w:p>
        </w:tc>
      </w:tr>
      <w:tr>
        <w:tc>
          <w:tcPr>
            <w:tcW w:type="dxa" w:w="3096"/>
            <w:tcMar>
              <w:top w:w="65" w:type="dxa"/>
              <w:start w:w="90" w:type="dxa"/>
              <w:bottom w:w="65" w:type="dxa"/>
              <w:end w:w="90" w:type="dxa"/>
            </w:tcMar>
            <w:shd w:fill="F8F9FB"/>
          </w:tcPr>
          <w:p>
            <w:r>
              <w:rPr>
                <w:b/>
                <w:color w:val="1F2937"/>
                <w:sz w:val="18"/>
              </w:rPr>
              <w:t>Working Website / Business System</w:t>
            </w:r>
          </w:p>
        </w:tc>
        <w:tc>
          <w:tcPr>
            <w:tcW w:type="dxa" w:w="7128"/>
            <w:tcMar>
              <w:top w:w="65" w:type="dxa"/>
              <w:start w:w="90" w:type="dxa"/>
              <w:bottom w:w="65" w:type="dxa"/>
              <w:end w:w="90" w:type="dxa"/>
            </w:tcMar>
            <w:shd w:fill="F8F9FB"/>
          </w:tcPr>
          <w:p>
            <w:r>
              <w:rPr>
                <w:color w:val="475569"/>
                <w:sz w:val="18"/>
              </w:rPr>
              <w:t>Aset digital sebenar yang dibina berdasarkan keperluan perniagaan peserta.</w:t>
            </w:r>
          </w:p>
        </w:tc>
      </w:tr>
      <w:tr>
        <w:tc>
          <w:tcPr>
            <w:tcW w:type="dxa" w:w="3096"/>
            <w:tcMar>
              <w:top w:w="65" w:type="dxa"/>
              <w:start w:w="90" w:type="dxa"/>
              <w:bottom w:w="65" w:type="dxa"/>
              <w:end w:w="90" w:type="dxa"/>
            </w:tcMar>
            <w:shd w:fill="FFFFFF"/>
          </w:tcPr>
          <w:p>
            <w:r>
              <w:rPr>
                <w:b/>
                <w:color w:val="1F2937"/>
                <w:sz w:val="18"/>
              </w:rPr>
              <w:t>Sales, CRM, Inventory &amp; Finance Modules</w:t>
            </w:r>
          </w:p>
        </w:tc>
        <w:tc>
          <w:tcPr>
            <w:tcW w:type="dxa" w:w="7128"/>
            <w:tcMar>
              <w:top w:w="65" w:type="dxa"/>
              <w:start w:w="90" w:type="dxa"/>
              <w:bottom w:w="65" w:type="dxa"/>
              <w:end w:w="90" w:type="dxa"/>
            </w:tcMar>
            <w:shd w:fill="FFFFFF"/>
          </w:tcPr>
          <w:p>
            <w:r>
              <w:rPr>
                <w:color w:val="475569"/>
                <w:sz w:val="18"/>
              </w:rPr>
              <w:t>Modul dipilih dan disesuaikan mengikut kesesuaian SME, bukan one-size-fits-all.</w:t>
            </w:r>
          </w:p>
        </w:tc>
      </w:tr>
      <w:tr>
        <w:tc>
          <w:tcPr>
            <w:tcW w:type="dxa" w:w="3096"/>
            <w:tcMar>
              <w:top w:w="65" w:type="dxa"/>
              <w:start w:w="90" w:type="dxa"/>
              <w:bottom w:w="65" w:type="dxa"/>
              <w:end w:w="90" w:type="dxa"/>
            </w:tcMar>
            <w:shd w:fill="F8F9FB"/>
          </w:tcPr>
          <w:p>
            <w:r>
              <w:rPr>
                <w:b/>
                <w:color w:val="1F2937"/>
                <w:sz w:val="18"/>
              </w:rPr>
              <w:t>Management Dashboard</w:t>
            </w:r>
          </w:p>
        </w:tc>
        <w:tc>
          <w:tcPr>
            <w:tcW w:type="dxa" w:w="7128"/>
            <w:tcMar>
              <w:top w:w="65" w:type="dxa"/>
              <w:start w:w="90" w:type="dxa"/>
              <w:bottom w:w="65" w:type="dxa"/>
              <w:end w:w="90" w:type="dxa"/>
            </w:tcMar>
            <w:shd w:fill="F8F9FB"/>
          </w:tcPr>
          <w:p>
            <w:r>
              <w:rPr>
                <w:color w:val="475569"/>
                <w:sz w:val="18"/>
              </w:rPr>
              <w:t>Paparan operasi dan performance untuk membantu management membuat keputusan berasaskan data.</w:t>
            </w:r>
          </w:p>
        </w:tc>
      </w:tr>
      <w:tr>
        <w:tc>
          <w:tcPr>
            <w:tcW w:type="dxa" w:w="3096"/>
            <w:tcMar>
              <w:top w:w="65" w:type="dxa"/>
              <w:start w:w="90" w:type="dxa"/>
              <w:bottom w:w="65" w:type="dxa"/>
              <w:end w:w="90" w:type="dxa"/>
            </w:tcMar>
            <w:shd w:fill="FFFFFF"/>
          </w:tcPr>
          <w:p>
            <w:r>
              <w:rPr>
                <w:b/>
                <w:color w:val="1F2937"/>
                <w:sz w:val="18"/>
              </w:rPr>
              <w:t>Automation Workflow</w:t>
            </w:r>
          </w:p>
        </w:tc>
        <w:tc>
          <w:tcPr>
            <w:tcW w:type="dxa" w:w="7128"/>
            <w:tcMar>
              <w:top w:w="65" w:type="dxa"/>
              <w:start w:w="90" w:type="dxa"/>
              <w:bottom w:w="65" w:type="dxa"/>
              <w:end w:w="90" w:type="dxa"/>
            </w:tcMar>
            <w:shd w:fill="FFFFFF"/>
          </w:tcPr>
          <w:p>
            <w:r>
              <w:rPr>
                <w:color w:val="475569"/>
                <w:sz w:val="18"/>
              </w:rPr>
              <w:t>Sekurang-kurangnya satu workflow berulang dikenal pasti untuk diautomasi atau dipermudahkan.</w:t>
            </w:r>
          </w:p>
        </w:tc>
      </w:tr>
      <w:tr>
        <w:tc>
          <w:tcPr>
            <w:tcW w:type="dxa" w:w="3096"/>
            <w:tcMar>
              <w:top w:w="65" w:type="dxa"/>
              <w:start w:w="90" w:type="dxa"/>
              <w:bottom w:w="65" w:type="dxa"/>
              <w:end w:w="90" w:type="dxa"/>
            </w:tcMar>
            <w:shd w:fill="F8F9FB"/>
          </w:tcPr>
          <w:p>
            <w:r>
              <w:rPr>
                <w:b/>
                <w:color w:val="1F2937"/>
                <w:sz w:val="18"/>
              </w:rPr>
              <w:t>AI-Assisted Business Audit</w:t>
            </w:r>
          </w:p>
        </w:tc>
        <w:tc>
          <w:tcPr>
            <w:tcW w:type="dxa" w:w="7128"/>
            <w:tcMar>
              <w:top w:w="65" w:type="dxa"/>
              <w:start w:w="90" w:type="dxa"/>
              <w:bottom w:w="65" w:type="dxa"/>
              <w:end w:w="90" w:type="dxa"/>
            </w:tcMar>
            <w:shd w:fill="F8F9FB"/>
          </w:tcPr>
          <w:p>
            <w:r>
              <w:rPr>
                <w:color w:val="475569"/>
                <w:sz w:val="18"/>
              </w:rPr>
              <w:t>Audit digital merangkumi aspek seperti website, SEO, performance, content, workflow dan improvement priorities.</w:t>
            </w:r>
          </w:p>
        </w:tc>
      </w:tr>
      <w:tr>
        <w:tc>
          <w:tcPr>
            <w:tcW w:type="dxa" w:w="3096"/>
            <w:tcMar>
              <w:top w:w="65" w:type="dxa"/>
              <w:start w:w="90" w:type="dxa"/>
              <w:bottom w:w="65" w:type="dxa"/>
              <w:end w:w="90" w:type="dxa"/>
            </w:tcMar>
            <w:shd w:fill="FFFFFF"/>
          </w:tcPr>
          <w:p>
            <w:r>
              <w:rPr>
                <w:b/>
                <w:color w:val="1F2937"/>
                <w:sz w:val="18"/>
              </w:rPr>
              <w:t>Cloud Deployment &amp; Infrastructure</w:t>
            </w:r>
          </w:p>
        </w:tc>
        <w:tc>
          <w:tcPr>
            <w:tcW w:type="dxa" w:w="7128"/>
            <w:tcMar>
              <w:top w:w="65" w:type="dxa"/>
              <w:start w:w="90" w:type="dxa"/>
              <w:bottom w:w="65" w:type="dxa"/>
              <w:end w:w="90" w:type="dxa"/>
            </w:tcMar>
            <w:shd w:fill="FFFFFF"/>
          </w:tcPr>
          <w:p>
            <w:r>
              <w:rPr>
                <w:color w:val="475569"/>
                <w:sz w:val="18"/>
              </w:rPr>
              <w:t>Environment pembangunan dan deployment sehingga 12 bulan, tertakluk kepada konfigurasi pilot yang dipersetujui.</w:t>
            </w:r>
          </w:p>
        </w:tc>
      </w:tr>
      <w:tr>
        <w:tc>
          <w:tcPr>
            <w:tcW w:type="dxa" w:w="3096"/>
            <w:tcMar>
              <w:top w:w="65" w:type="dxa"/>
              <w:start w:w="90" w:type="dxa"/>
              <w:bottom w:w="65" w:type="dxa"/>
              <w:end w:w="90" w:type="dxa"/>
            </w:tcMar>
            <w:shd w:fill="F8F9FB"/>
          </w:tcPr>
          <w:p>
            <w:r>
              <w:rPr>
                <w:b/>
                <w:color w:val="1F2937"/>
                <w:sz w:val="18"/>
              </w:rPr>
              <w:t>11-Day Hands-On Programme</w:t>
            </w:r>
          </w:p>
        </w:tc>
        <w:tc>
          <w:tcPr>
            <w:tcW w:type="dxa" w:w="7128"/>
            <w:tcMar>
              <w:top w:w="65" w:type="dxa"/>
              <w:start w:w="90" w:type="dxa"/>
              <w:bottom w:w="65" w:type="dxa"/>
              <w:end w:w="90" w:type="dxa"/>
            </w:tcMar>
            <w:shd w:fill="F8F9FB"/>
          </w:tcPr>
          <w:p>
            <w:r>
              <w:rPr>
                <w:color w:val="475569"/>
                <w:sz w:val="18"/>
              </w:rPr>
              <w:t>Peserta membina sistem sendiri dengan bimbingan, bukan sekadar menonton demo.</w:t>
            </w:r>
          </w:p>
        </w:tc>
      </w:tr>
    </w:tbl>
    <w:p>
      <w:pPr>
        <w:spacing w:before="160" w:after="100"/>
      </w:pPr>
      <w:r>
        <w:rPr>
          <w:b/>
          <w:color w:val="C8102E"/>
          <w:sz w:val="28"/>
        </w:rPr>
        <w:t>NILAI STRATEGIK KEPADA MARA / PUSMA</w:t>
      </w:r>
    </w:p>
    <w:p>
      <w:pPr>
        <w:spacing w:after="120"/>
      </w:pPr>
      <w:r>
        <w:t>Keberkesanan program dicadangkan dinilai berdasarkan measurable business outcomes, termasuk bilangan sistem yang berjaya dideploy, tahap penggunaan Agent AI, automation yang diwujudkan, productivity improvement, digital leads atau sales, penggunaan dashboard dan tahap adoption selepas program tamat.</w:t>
      </w:r>
    </w:p>
    <w:p>
      <w:pPr>
        <w:spacing w:after="120"/>
      </w:pPr>
      <w:r>
        <w:t>Bagi MARA dan PUSMA, pilot ini menyediakan model yang boleh diuji dalam skala terkawal sebelum diperluaskan ke peringkat negeri dan seterusnya nasional. Outcome program juga boleh dipantau melalui cadangan MARA SME AI Transformation Dashboard yang memberi visibility terhadap progress, deployment dan adoption peserta tanpa perlu mendedahkan data komersial sensitif setiap SME.</w:t>
      </w:r>
    </w:p>
    <w:p>
      <w:pPr>
        <w:spacing w:after="120"/>
      </w:pPr>
      <w:r>
        <w:t>Matlamat utama adalah meningkatkan execution capability SME dengan memberi akses kepada Agent AI, business systems dan automation tanpa memerlukan sebuah IT department yang besar.</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224"/>
      </w:tblGrid>
      <w:tr>
        <w:tc>
          <w:tcPr>
            <w:tcW w:type="dxa" w:w="10224"/>
            <w:shd w:fill="FDECEF"/>
            <w:tcMar>
              <w:top w:w="130" w:type="dxa"/>
              <w:start w:w="150" w:type="dxa"/>
              <w:bottom w:w="130" w:type="dxa"/>
              <w:end w:w="150" w:type="dxa"/>
            </w:tcMar>
          </w:tcPr>
          <w:p>
            <w:pPr>
              <w:jc w:val="center"/>
            </w:pPr>
            <w:r>
              <w:rPr>
                <w:b/>
                <w:color w:val="C8102E"/>
                <w:sz w:val="25"/>
              </w:rPr>
              <w:t>NOT JUST AI TRAINING. EVERY SME LEAVES WITH A WORKING SYSTEM.</w:t>
            </w:r>
          </w:p>
          <w:p>
            <w:pPr>
              <w:jc w:val="center"/>
            </w:pPr>
            <w:r>
              <w:rPr>
                <w:b/>
                <w:color w:val="1F2937"/>
                <w:sz w:val="19"/>
              </w:rPr>
              <w:t>30 SMEs. 30 AI Agents. 30 Working Business Systems. One Measurable Pilot.</w:t>
            </w:r>
          </w:p>
        </w:tc>
      </w:tr>
    </w:tbl>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A7A7A"/>
        <w:sz w:val="16"/>
      </w:rPr>
      <w:t>Proposed MARA × AINNA — 30 SME AI Transformation Pilot Programme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2937"/>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8102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C8102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 × AINNA Executive Summary</dc:title>
  <dc:subject>30 SME AI Transformation Pilot Programme</dc:subject>
  <dc:creator>AINNA</dc:creator>
  <cp:keywords/>
  <dc:description>generated by python-docx</dc:description>
  <cp:lastModifiedBy/>
  <cp:revision>1</cp:revision>
  <dcterms:created xsi:type="dcterms:W3CDTF">2013-12-23T23:15:00Z</dcterms:created>
  <dcterms:modified xsi:type="dcterms:W3CDTF">2013-12-23T23:15:00Z</dcterms:modified>
  <cp:category/>
</cp:coreProperties>
</file>