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rFonts w:ascii="Aptos" w:hAnsi="Aptos"/>
          <w:b/>
          <w:color w:val="C9152C"/>
          <w:sz w:val="24"/>
        </w:rPr>
        <w:t>PROPOSED PROGRAMME</w:t>
      </w:r>
    </w:p>
    <w:p>
      <w:pPr>
        <w:spacing w:before="80" w:after="80" w:line="240" w:lineRule="auto"/>
        <w:jc w:val="center"/>
      </w:pPr>
      <w:r>
        <w:rPr>
          <w:rFonts w:ascii="Aptos" w:hAnsi="Aptos"/>
          <w:b/>
          <w:color w:val="18181B"/>
          <w:sz w:val="68"/>
        </w:rPr>
        <w:t>MARA x AINNA</w:t>
      </w:r>
    </w:p>
    <w:p>
      <w:pPr>
        <w:spacing w:before="0" w:after="160" w:line="240" w:lineRule="auto"/>
        <w:jc w:val="center"/>
      </w:pPr>
      <w:r>
        <w:rPr>
          <w:rFonts w:ascii="Aptos" w:hAnsi="Aptos"/>
          <w:b/>
          <w:color w:val="C9152C"/>
          <w:sz w:val="42"/>
        </w:rPr>
        <w:t>30 SME AI Transformation Pilot Programme</w:t>
      </w:r>
    </w:p>
    <w:p>
      <w:pPr>
        <w:spacing w:before="0" w:after="280" w:line="240" w:lineRule="auto"/>
        <w:jc w:val="center"/>
      </w:pPr>
      <w:r>
        <w:rPr>
          <w:rFonts w:ascii="Aptos" w:hAnsi="Aptos"/>
          <w:b/>
          <w:color w:val="2B2D31"/>
          <w:sz w:val="30"/>
        </w:rPr>
        <w:t>AI AGENT FOR EVERY SME</w:t>
      </w:r>
    </w:p>
    <w:tbl>
      <w:tblPr>
        <w:tblW w:type="auto" w:w="0"/>
        <w:jc w:val="center"/>
        <w:tblLayout w:type="fixed"/>
        <w:tblLook w:firstColumn="1" w:firstRow="1" w:lastColumn="0" w:lastRow="0" w:noHBand="0" w:noVBand="1" w:val="04A0"/>
      </w:tblPr>
      <w:tblGrid>
        <w:gridCol w:w="9835"/>
      </w:tblGrid>
      <w:tr>
        <w:trPr>
          <w:cantSplit/>
        </w:trPr>
        <w:tc>
          <w:tcPr>
            <w:tcW w:type="dxa" w:w="9835"/>
            <w:shd w:fill="C9152C"/>
            <w:tcMar>
              <w:top w:w="220" w:type="dxa"/>
              <w:start w:w="280" w:type="dxa"/>
              <w:bottom w:w="220" w:type="dxa"/>
              <w:end w:w="280" w:type="dxa"/>
            </w:tcMar>
          </w:tcPr>
          <w:p>
            <w:pPr>
              <w:spacing w:before="0" w:after="0" w:line="269" w:lineRule="auto"/>
              <w:jc w:val="center"/>
            </w:pPr>
            <w:r>
              <w:rPr>
                <w:rFonts w:ascii="Aptos" w:hAnsi="Aptos"/>
                <w:b/>
                <w:color w:val="FFFFFF"/>
                <w:sz w:val="33"/>
              </w:rPr>
              <w:t>30 SMEs. 30 AI Agents. 30 Working Business Systems.</w:t>
              <w:br/>
              <w:t>One Measurable Pilot.</w:t>
            </w:r>
          </w:p>
        </w:tc>
      </w:tr>
    </w:tbl>
    <w:p>
      <w:pPr>
        <w:spacing w:before="360" w:after="520" w:line="259" w:lineRule="auto"/>
        <w:jc w:val="center"/>
      </w:pPr>
      <w:r>
        <w:rPr>
          <w:rFonts w:ascii="Aptos" w:hAnsi="Aptos"/>
          <w:b/>
          <w:i w:val="0"/>
          <w:color w:val="6B7280"/>
          <w:sz w:val="21"/>
        </w:rPr>
        <w:t>TRAIN  &gt;  BUILD  &gt;  DEPLOY  &gt;  OPERATE  &gt;  IMPROVE</w:t>
      </w:r>
    </w:p>
    <w:p>
      <w:pPr>
        <w:spacing w:before="0" w:after="40" w:line="259" w:lineRule="auto"/>
        <w:jc w:val="center"/>
      </w:pPr>
      <w:r>
        <w:rPr>
          <w:rFonts w:ascii="Aptos" w:hAnsi="Aptos"/>
          <w:b/>
          <w:i w:val="0"/>
          <w:color w:val="18181B"/>
          <w:sz w:val="21"/>
        </w:rPr>
        <w:t>Prepared by AINNA</w:t>
      </w:r>
    </w:p>
    <w:p>
      <w:pPr>
        <w:spacing w:before="0" w:after="60" w:line="259" w:lineRule="auto"/>
        <w:jc w:val="center"/>
      </w:pPr>
      <w:r>
        <w:rPr>
          <w:rFonts w:ascii="Aptos" w:hAnsi="Aptos"/>
          <w:b w:val="0"/>
          <w:i w:val="0"/>
          <w:color w:val="6B7280"/>
          <w:sz w:val="18"/>
        </w:rPr>
        <w:t>For discussion with Majlis Amanah Rakyat (MARA), Bahagian Pembangunan Usahawan (BPU) and Pejabat Usahawan MARA (PUSMA)</w:t>
      </w:r>
    </w:p>
    <w:p>
      <w:pPr>
        <w:spacing w:before="0" w:after="80" w:line="259" w:lineRule="auto"/>
        <w:jc w:val="center"/>
      </w:pPr>
      <w:r>
        <w:rPr>
          <w:rFonts w:ascii="Aptos" w:hAnsi="Aptos"/>
          <w:b w:val="0"/>
          <w:i w:val="0"/>
          <w:color w:val="6B7280"/>
          <w:sz w:val="18"/>
        </w:rPr>
        <w:t>September 2026</w:t>
      </w:r>
    </w:p>
    <w:p>
      <w:pPr>
        <w:spacing w:before="320" w:after="0" w:line="259" w:lineRule="auto"/>
        <w:jc w:val="center"/>
      </w:pPr>
      <w:r>
        <w:rPr>
          <w:rFonts w:ascii="Aptos" w:hAnsi="Aptos"/>
          <w:b w:val="0"/>
          <w:i/>
          <w:color w:val="6B7280"/>
          <w:sz w:val="16"/>
        </w:rPr>
        <w:t>Status: Proposed pilot. This document does not imply MARA approval or endorsement.</w:t>
      </w:r>
    </w:p>
    <w:p>
      <w:r>
        <w:br w:type="page"/>
      </w:r>
    </w:p>
    <w:p>
      <w:pPr>
        <w:keepNext/>
        <w:spacing w:before="80" w:after="60" w:line="240" w:lineRule="auto"/>
        <w:pBdr>
          <w:bottom w:val="single" w:sz="16" w:space="6" w:color="C9152C"/>
        </w:pBdr>
      </w:pPr>
      <w:r>
        <w:rPr>
          <w:rFonts w:ascii="Aptos" w:hAnsi="Aptos"/>
          <w:b/>
          <w:color w:val="C9152C"/>
          <w:sz w:val="34"/>
        </w:rPr>
        <w:t>1. EXECUTIVE SUMMARY</w:t>
      </w:r>
    </w:p>
    <w:p>
      <w:pPr>
        <w:spacing w:before="0" w:after="180" w:line="259" w:lineRule="auto"/>
      </w:pPr>
      <w:r>
        <w:rPr>
          <w:rFonts w:ascii="Aptos" w:hAnsi="Aptos"/>
          <w:b w:val="0"/>
          <w:i w:val="0"/>
          <w:color w:val="18181B"/>
          <w:sz w:val="22"/>
        </w:rPr>
        <w:t>AINNA proposes a 30-SME pilot programme that equips participating entrepreneurs with an AINNA Agent AI environment, hands-on implementation support, working digital business systems and a 12-month infrastructure runway. The programme is designed as a business execution initiative, not an AI-awareness seminar.</w:t>
      </w:r>
    </w:p>
    <w:tbl>
      <w:tblPr>
        <w:tblW w:type="auto" w:w="0"/>
        <w:jc w:val="center"/>
        <w:tblLayout w:type="fixed"/>
        <w:tblLook w:firstColumn="1" w:firstRow="1" w:lastColumn="0" w:lastRow="0" w:noHBand="0" w:noVBand="1" w:val="04A0"/>
      </w:tblPr>
      <w:tblGrid>
        <w:gridCol w:w="9835"/>
      </w:tblGrid>
      <w:tr>
        <w:trPr>
          <w:cantSplit/>
        </w:trPr>
        <w:tc>
          <w:tcPr>
            <w:tcW w:type="dxa" w:w="9835"/>
            <w:shd w:fill="FFF1F2"/>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Core proposition</w:t>
            </w:r>
          </w:p>
          <w:p>
            <w:pPr>
              <w:spacing w:before="0" w:after="0" w:line="259" w:lineRule="auto"/>
            </w:pPr>
            <w:r>
              <w:rPr>
                <w:rFonts w:ascii="Aptos" w:hAnsi="Aptos"/>
                <w:color w:val="18181B"/>
                <w:sz w:val="20"/>
              </w:rPr>
              <w:t>Every SME uses AI to build and operate real business assets during the programme, then continues using the environment after the classroom component ends.</w:t>
            </w:r>
          </w:p>
        </w:tc>
      </w:tr>
    </w:tbl>
    <w:p>
      <w:pPr>
        <w:spacing w:after="0"/>
      </w:pPr>
    </w:p>
    <w:tbl>
      <w:tblPr>
        <w:tblW w:type="auto" w:w="0"/>
        <w:jc w:val="center"/>
        <w:tblLayout w:type="autofit"/>
        <w:tblLook w:firstColumn="1" w:firstRow="1" w:lastColumn="0" w:lastRow="0" w:noHBand="0" w:noVBand="1" w:val="04A0"/>
      </w:tblPr>
      <w:tblGrid>
        <w:gridCol w:w="2459"/>
        <w:gridCol w:w="2459"/>
        <w:gridCol w:w="2459"/>
        <w:gridCol w:w="2459"/>
      </w:tblGrid>
      <w:tr>
        <w:trPr>
          <w:cantSplit/>
        </w:trPr>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30</w:t>
            </w:r>
          </w:p>
          <w:p>
            <w:pPr>
              <w:spacing w:before="0" w:after="0" w:line="240" w:lineRule="auto"/>
              <w:jc w:val="center"/>
            </w:pPr>
            <w:r>
              <w:rPr>
                <w:rFonts w:ascii="Aptos" w:hAnsi="Aptos"/>
                <w:b/>
                <w:color w:val="18181B"/>
                <w:sz w:val="17"/>
              </w:rPr>
              <w:t>SME PARTICIPANTS</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11</w:t>
            </w:r>
          </w:p>
          <w:p>
            <w:pPr>
              <w:spacing w:before="0" w:after="0" w:line="240" w:lineRule="auto"/>
              <w:jc w:val="center"/>
            </w:pPr>
            <w:r>
              <w:rPr>
                <w:rFonts w:ascii="Aptos" w:hAnsi="Aptos"/>
                <w:b/>
                <w:color w:val="18181B"/>
                <w:sz w:val="17"/>
              </w:rPr>
              <w:t>TRAINING DAYS</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12</w:t>
            </w:r>
          </w:p>
          <w:p>
            <w:pPr>
              <w:spacing w:before="0" w:after="0" w:line="240" w:lineRule="auto"/>
              <w:jc w:val="center"/>
            </w:pPr>
            <w:r>
              <w:rPr>
                <w:rFonts w:ascii="Aptos" w:hAnsi="Aptos"/>
                <w:b/>
                <w:color w:val="18181B"/>
                <w:sz w:val="17"/>
              </w:rPr>
              <w:t>MONTHS INFRASTRUCTURE</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1</w:t>
            </w:r>
          </w:p>
          <w:p>
            <w:pPr>
              <w:spacing w:before="0" w:after="0" w:line="240" w:lineRule="auto"/>
              <w:jc w:val="center"/>
            </w:pPr>
            <w:r>
              <w:rPr>
                <w:rFonts w:ascii="Aptos" w:hAnsi="Aptos"/>
                <w:b/>
                <w:color w:val="18181B"/>
                <w:sz w:val="17"/>
              </w:rPr>
              <w:t>MEASURABLE PILOT</w:t>
            </w:r>
          </w:p>
        </w:tc>
      </w:tr>
    </w:tbl>
    <w:p>
      <w:pPr>
        <w:keepNext/>
        <w:spacing w:before="80" w:after="60" w:line="240" w:lineRule="auto"/>
      </w:pPr>
      <w:r>
        <w:rPr>
          <w:rFonts w:ascii="Aptos" w:hAnsi="Aptos"/>
          <w:b/>
          <w:color w:val="18181B"/>
          <w:sz w:val="25"/>
        </w:rPr>
        <w:t>Why this fits the MARA ecosystem</w:t>
      </w:r>
    </w:p>
    <w:p>
      <w:pPr>
        <w:spacing w:before="0" w:after="160" w:line="259" w:lineRule="auto"/>
      </w:pPr>
      <w:r>
        <w:rPr>
          <w:rFonts w:ascii="Aptos" w:hAnsi="Aptos"/>
          <w:b w:val="0"/>
          <w:i w:val="0"/>
          <w:color w:val="18181B"/>
          <w:sz w:val="20"/>
        </w:rPr>
        <w:t>MARA’s MyUsahawan portal states that Bahagian Pembangunan Usahawan (BPU) manages entrepreneurship training, with implementation through PUSMA and Pejabat MARA Daerah. The same portal describes training coverage across business management, finance, operations, marketing and ICT. AINNA’s proposal extends these areas into practical AI-enabled execution and system deployment.</w:t>
      </w:r>
    </w:p>
    <w:p>
      <w:pPr>
        <w:keepNext/>
        <w:spacing w:before="80" w:after="60" w:line="240" w:lineRule="auto"/>
      </w:pPr>
      <w:r>
        <w:rPr>
          <w:rFonts w:ascii="Aptos" w:hAnsi="Aptos"/>
          <w:b/>
          <w:color w:val="18181B"/>
          <w:sz w:val="25"/>
        </w:rPr>
        <w:t>Pilot outcome</w:t>
      </w:r>
    </w:p>
    <w:p>
      <w:pPr>
        <w:pStyle w:val="ListBullet"/>
        <w:spacing w:before="0" w:after="60" w:line="252" w:lineRule="auto"/>
        <w:ind w:left="259" w:hanging="173"/>
      </w:pPr>
      <w:r>
        <w:rPr>
          <w:rFonts w:ascii="Aptos" w:hAnsi="Aptos"/>
          <w:color w:val="18181B"/>
          <w:sz w:val="20"/>
        </w:rPr>
        <w:t>30 SME owners onboarded into an AINNA Agent AI environment.</w:t>
      </w:r>
    </w:p>
    <w:p>
      <w:pPr>
        <w:pStyle w:val="ListBullet"/>
        <w:spacing w:before="0" w:after="60" w:line="252" w:lineRule="auto"/>
        <w:ind w:left="259" w:hanging="173"/>
      </w:pPr>
      <w:r>
        <w:rPr>
          <w:rFonts w:ascii="Aptos" w:hAnsi="Aptos"/>
          <w:color w:val="18181B"/>
          <w:sz w:val="20"/>
        </w:rPr>
        <w:t>30 working digital business assets/systems built or materially upgraded.</w:t>
      </w:r>
    </w:p>
    <w:p>
      <w:pPr>
        <w:pStyle w:val="ListBullet"/>
        <w:spacing w:before="0" w:after="60" w:line="252" w:lineRule="auto"/>
        <w:ind w:left="259" w:hanging="173"/>
      </w:pPr>
      <w:r>
        <w:rPr>
          <w:rFonts w:ascii="Aptos" w:hAnsi="Aptos"/>
          <w:color w:val="18181B"/>
          <w:sz w:val="20"/>
        </w:rPr>
        <w:t>At least one practical automation or AI-enabled workflow established for each SME.</w:t>
      </w:r>
    </w:p>
    <w:p>
      <w:pPr>
        <w:pStyle w:val="ListBullet"/>
        <w:spacing w:before="0" w:after="60" w:line="252" w:lineRule="auto"/>
        <w:ind w:left="259" w:hanging="173"/>
      </w:pPr>
      <w:r>
        <w:rPr>
          <w:rFonts w:ascii="Aptos" w:hAnsi="Aptos"/>
          <w:color w:val="18181B"/>
          <w:sz w:val="20"/>
        </w:rPr>
        <w:t>Management visibility improved through dashboards, structured data and AI-assisted review.</w:t>
      </w:r>
    </w:p>
    <w:p>
      <w:pPr>
        <w:pStyle w:val="ListBullet"/>
        <w:spacing w:before="0" w:after="60" w:line="252" w:lineRule="auto"/>
        <w:ind w:left="259" w:hanging="173"/>
      </w:pPr>
      <w:r>
        <w:rPr>
          <w:rFonts w:ascii="Aptos" w:hAnsi="Aptos"/>
          <w:color w:val="18181B"/>
          <w:sz w:val="20"/>
        </w:rPr>
        <w:t>Post-programme adoption can be measured at 30, 60 and 90 days before wider rollout is considered.</w:t>
      </w:r>
    </w:p>
    <w:p>
      <w:pPr>
        <w:keepNext/>
        <w:spacing w:before="80" w:after="60" w:line="240" w:lineRule="auto"/>
      </w:pPr>
      <w:r>
        <w:rPr>
          <w:rFonts w:ascii="Aptos" w:hAnsi="Aptos"/>
          <w:b/>
          <w:color w:val="18181B"/>
          <w:sz w:val="25"/>
        </w:rPr>
        <w:t>Programme principle</w:t>
      </w:r>
    </w:p>
    <w:tbl>
      <w:tblPr>
        <w:tblW w:type="auto" w:w="0"/>
        <w:jc w:val="center"/>
        <w:tblLayout w:type="fixed"/>
        <w:tblLook w:firstColumn="1" w:firstRow="1" w:lastColumn="0" w:lastRow="0" w:noHBand="0" w:noVBand="1" w:val="04A0"/>
      </w:tblPr>
      <w:tblGrid>
        <w:gridCol w:w="9835"/>
      </w:tblGrid>
      <w:tr>
        <w:trPr>
          <w:cantSplit/>
        </w:trPr>
        <w:tc>
          <w:tcPr>
            <w:tcW w:type="dxa" w:w="9835"/>
            <w:shd w:fill="18181B"/>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NOT JUST AI TRAINING</w:t>
            </w:r>
          </w:p>
          <w:p>
            <w:pPr>
              <w:spacing w:before="0" w:after="0" w:line="259" w:lineRule="auto"/>
            </w:pPr>
            <w:r>
              <w:rPr>
                <w:rFonts w:ascii="Aptos" w:hAnsi="Aptos"/>
                <w:color w:val="FFFFFF"/>
                <w:sz w:val="20"/>
              </w:rPr>
              <w:t>EVERY SME LEAVES WITH A WORKING SYSTEM.</w:t>
            </w:r>
          </w:p>
        </w:tc>
      </w:tr>
    </w:tbl>
    <w:p>
      <w:pPr>
        <w:spacing w:after="0"/>
      </w:pPr>
    </w:p>
    <w:p>
      <w:r>
        <w:br w:type="page"/>
      </w:r>
    </w:p>
    <w:p>
      <w:pPr>
        <w:keepNext/>
        <w:spacing w:before="80" w:after="60" w:line="240" w:lineRule="auto"/>
        <w:pBdr>
          <w:bottom w:val="single" w:sz="16" w:space="6" w:color="C9152C"/>
        </w:pBdr>
      </w:pPr>
      <w:r>
        <w:rPr>
          <w:rFonts w:ascii="Aptos" w:hAnsi="Aptos"/>
          <w:b/>
          <w:color w:val="C9152C"/>
          <w:sz w:val="34"/>
        </w:rPr>
        <w:t>2. WHAT EACH SME WILL RECEIVE</w:t>
      </w:r>
    </w:p>
    <w:p>
      <w:pPr>
        <w:spacing w:before="0" w:after="120" w:line="259" w:lineRule="auto"/>
      </w:pPr>
      <w:r>
        <w:rPr>
          <w:rFonts w:ascii="Aptos" w:hAnsi="Aptos"/>
          <w:b w:val="0"/>
          <w:i w:val="0"/>
          <w:color w:val="6B7280"/>
          <w:sz w:val="19"/>
        </w:rPr>
        <w:t>This is the central deliverable of the pilot: tangible capability and working assets, not attendance alone.</w:t>
      </w:r>
    </w:p>
    <w:tbl>
      <w:tblPr>
        <w:tblW w:type="auto" w:w="0"/>
        <w:jc w:val="center"/>
        <w:tblLayout w:type="fixed"/>
        <w:tblLook w:firstColumn="1" w:firstRow="1" w:lastColumn="0" w:lastRow="0" w:noHBand="0" w:noVBand="1" w:val="04A0"/>
      </w:tblPr>
      <w:tblGrid>
        <w:gridCol w:w="648"/>
        <w:gridCol w:w="2880"/>
        <w:gridCol w:w="6696"/>
      </w:tblGrid>
      <w:tr>
        <w:trPr>
          <w:tblHeader w:val="true"/>
          <w:cantSplit/>
        </w:trPr>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pPr>
              <w:spacing w:before="0" w:after="0" w:line="240" w:lineRule="auto"/>
            </w:pPr>
            <w:r>
              <w:rPr>
                <w:rFonts w:ascii="Aptos" w:hAnsi="Aptos"/>
                <w:b/>
                <w:color w:val="FFFFFF"/>
                <w:sz w:val="17"/>
              </w:rPr>
              <w:t>#</w:t>
            </w:r>
          </w:p>
        </w:tc>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pPr>
              <w:spacing w:before="0" w:after="0" w:line="240" w:lineRule="auto"/>
            </w:pPr>
            <w:r>
              <w:rPr>
                <w:rFonts w:ascii="Aptos" w:hAnsi="Aptos"/>
                <w:b/>
                <w:color w:val="FFFFFF"/>
                <w:sz w:val="17"/>
              </w:rPr>
              <w:t>DELIVERABLE</w:t>
            </w:r>
          </w:p>
        </w:tc>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pPr>
              <w:spacing w:before="0" w:after="0" w:line="240" w:lineRule="auto"/>
            </w:pPr>
            <w:r>
              <w:rPr>
                <w:rFonts w:ascii="Aptos" w:hAnsi="Aptos"/>
                <w:b/>
                <w:color w:val="FFFFFF"/>
                <w:sz w:val="17"/>
              </w:rPr>
              <w:t>WHAT THE SME GETS</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01</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AINNA Agent AI Environment</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 dedicated working environment where the SME can use Agent AI to plan, build, review, improve and automate selected business tasks.</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02</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Working Business Website / Digital Asset</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 responsive business website or equivalent digital business asset built or upgraded using the SME’s actual brand, product and business information.</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03</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Business System Module</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Depending on business suitability: product catalogue, enquiry, ordering, customer/order management, e-commerce workflow or other practical business application.</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04</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Management Dashboard</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 working dashboard baseline for relevant operational metrics such as sales, orders, inventory and basic finance visibility.</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05</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Automation Workflow</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At least one selected repetitive process redesigned using rules, software automation and Agent AI where intelligence is actually required.</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06</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AI Business / Digital Audit</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Structured review covering relevant areas such as website quality, content, SEO readiness, performance, operational workflow and improvement priorities.</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07</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Cloud Deployment Environment</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 deployment environment for the working solution, with infrastructure access planned for up to 12 months under the agreed pilot configuration.</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08</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Hands-on Build Programme</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11 days of guided implementation where participants work on their own business instead of using generic classroom examples.</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09</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Project Workspace &amp; Working Files</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Organised project workspace, system configuration and working files created during the programme for continued improvement.</w:t>
            </w:r>
          </w:p>
        </w:tc>
      </w:tr>
      <w:tr>
        <w:trPr>
          <w:cantSplit/>
        </w:trPr>
        <w:tc>
          <w:tcPr>
            <w:tcW w:type="dxa" w:w="64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pPr>
              <w:jc w:val="center"/>
            </w:pPr>
            <w:r>
              <w:rPr>
                <w:rFonts w:ascii="Aptos" w:hAnsi="Aptos"/>
                <w:b/>
                <w:color w:val="C9152C"/>
                <w:sz w:val="19"/>
              </w:rPr>
              <w:t>10</w:t>
            </w:r>
          </w:p>
        </w:tc>
        <w:tc>
          <w:tcPr>
            <w:tcW w:type="dxa" w:w="2880"/>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color w:val="18181B"/>
                <w:sz w:val="19"/>
              </w:rPr>
              <w:t>90-Day Adoption Roadmap</w:t>
            </w:r>
          </w:p>
        </w:tc>
        <w:tc>
          <w:tcPr>
            <w:tcW w:type="dxa" w:w="6696"/>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color w:val="18181B"/>
                <w:sz w:val="18"/>
              </w:rPr>
              <w:t>A practical post-training action plan so the SME continues using and improving the system after the training period.</w:t>
            </w:r>
          </w:p>
        </w:tc>
      </w:tr>
    </w:tbl>
    <w:p>
      <w:pPr>
        <w:spacing w:before="140" w:after="0" w:line="259" w:lineRule="auto"/>
      </w:pPr>
      <w:r>
        <w:rPr>
          <w:rFonts w:ascii="Aptos" w:hAnsi="Aptos"/>
          <w:b w:val="0"/>
          <w:i/>
          <w:color w:val="6B7280"/>
          <w:sz w:val="17"/>
        </w:rPr>
        <w:t>Important scoping note: exact modules depend on each SME’s business model, readiness and available data. Domain registration, payment gateway fees, third-party subscriptions, external platform charges and specialist professional services are not assumed to be included unless stated in the final quotation.</w:t>
      </w:r>
    </w:p>
    <w:p>
      <w:r>
        <w:br w:type="page"/>
      </w:r>
    </w:p>
    <w:p>
      <w:pPr>
        <w:keepNext/>
        <w:spacing w:before="80" w:after="60" w:line="240" w:lineRule="auto"/>
        <w:pBdr>
          <w:bottom w:val="single" w:sz="16" w:space="6" w:color="C9152C"/>
        </w:pBdr>
      </w:pPr>
      <w:r>
        <w:rPr>
          <w:rFonts w:ascii="Aptos" w:hAnsi="Aptos"/>
          <w:b/>
          <w:color w:val="C9152C"/>
          <w:sz w:val="34"/>
        </w:rPr>
        <w:t>3. PROGRAMME STRUCTURE - 11-DAY PRACTICAL BUILD</w:t>
      </w:r>
    </w:p>
    <w:p>
      <w:pPr>
        <w:spacing w:before="0" w:after="160" w:line="259" w:lineRule="auto"/>
      </w:pPr>
      <w:r>
        <w:rPr>
          <w:rFonts w:ascii="Aptos" w:hAnsi="Aptos"/>
          <w:b w:val="0"/>
          <w:i w:val="0"/>
          <w:color w:val="18181B"/>
          <w:sz w:val="21"/>
        </w:rPr>
        <w:t>The programme moves progressively from AI-agent usage into system construction, deployment, business management and a final demonstration. Every stage produces a usable output.</w:t>
      </w:r>
    </w:p>
    <w:tbl>
      <w:tblPr>
        <w:tblW w:type="auto" w:w="0"/>
        <w:jc w:val="center"/>
        <w:tblLayout w:type="fixed"/>
        <w:tblLook w:firstColumn="1" w:firstRow="1" w:lastColumn="0" w:lastRow="0" w:noHBand="0" w:noVBand="1" w:val="04A0"/>
      </w:tblPr>
      <w:tblGrid>
        <w:gridCol w:w="4917"/>
        <w:gridCol w:w="4917"/>
      </w:tblGrid>
      <w:tr>
        <w:trPr>
          <w:cantSplit/>
        </w:trPr>
        <w:tc>
          <w:tcPr>
            <w:tcW w:type="dxa" w:w="1584"/>
            <w:shd w:fill="C9152C"/>
            <w:tcMar>
              <w:top w:w="150" w:type="dxa"/>
              <w:start w:w="120" w:type="dxa"/>
              <w:bottom w:w="150" w:type="dxa"/>
              <w:end w:w="12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19"/>
              </w:rPr>
              <w:t>STAGE 1</w:t>
            </w:r>
          </w:p>
          <w:p>
            <w:pPr>
              <w:jc w:val="center"/>
            </w:pPr>
            <w:r>
              <w:rPr>
                <w:rFonts w:ascii="Aptos" w:hAnsi="Aptos"/>
                <w:b/>
                <w:color w:val="FFFFFF"/>
                <w:sz w:val="17"/>
              </w:rPr>
              <w:t>3 DAYS</w:t>
            </w:r>
          </w:p>
        </w:tc>
        <w:tc>
          <w:tcPr>
            <w:tcW w:type="dxa" w:w="8496"/>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AI Agent, Website &amp; Cloud</w:t>
            </w:r>
          </w:p>
          <w:p>
            <w:pPr>
              <w:spacing w:before="0" w:after="80" w:line="252" w:lineRule="auto"/>
            </w:pPr>
            <w:r>
              <w:rPr>
                <w:rFonts w:ascii="Aptos" w:hAnsi="Aptos"/>
                <w:color w:val="18181B"/>
                <w:sz w:val="19"/>
              </w:rPr>
              <w:t>Use the SME’s company profile, branding and product/service data to establish the Agent AI workspace and deploy a working corporate website or digital business presence.</w:t>
            </w:r>
          </w:p>
          <w:p>
            <w:pPr>
              <w:spacing w:before="0" w:after="0" w:line="240" w:lineRule="auto"/>
            </w:pPr>
            <w:r>
              <w:rPr>
                <w:rFonts w:ascii="Aptos" w:hAnsi="Aptos"/>
                <w:b/>
                <w:color w:val="C9152C"/>
                <w:sz w:val="18"/>
              </w:rPr>
              <w:t xml:space="preserve">Output: </w:t>
            </w:r>
            <w:r>
              <w:rPr>
                <w:rFonts w:ascii="Aptos" w:hAnsi="Aptos"/>
                <w:b/>
                <w:color w:val="18181B"/>
                <w:sz w:val="18"/>
              </w:rPr>
              <w:t>Agent environment + deployed digital asset</w:t>
            </w:r>
          </w:p>
        </w:tc>
      </w:tr>
    </w:tbl>
    <w:p>
      <w:pPr>
        <w:spacing w:after="40"/>
      </w:pPr>
    </w:p>
    <w:tbl>
      <w:tblPr>
        <w:tblW w:type="auto" w:w="0"/>
        <w:jc w:val="center"/>
        <w:tblLayout w:type="fixed"/>
        <w:tblLook w:firstColumn="1" w:firstRow="1" w:lastColumn="0" w:lastRow="0" w:noHBand="0" w:noVBand="1" w:val="04A0"/>
      </w:tblPr>
      <w:tblGrid>
        <w:gridCol w:w="4917"/>
        <w:gridCol w:w="4917"/>
      </w:tblGrid>
      <w:tr>
        <w:trPr>
          <w:cantSplit/>
        </w:trPr>
        <w:tc>
          <w:tcPr>
            <w:tcW w:type="dxa" w:w="1584"/>
            <w:shd w:fill="C9152C"/>
            <w:tcMar>
              <w:top w:w="150" w:type="dxa"/>
              <w:start w:w="120" w:type="dxa"/>
              <w:bottom w:w="150" w:type="dxa"/>
              <w:end w:w="12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19"/>
              </w:rPr>
              <w:t>STAGE 2</w:t>
            </w:r>
          </w:p>
          <w:p>
            <w:pPr>
              <w:jc w:val="center"/>
            </w:pPr>
            <w:r>
              <w:rPr>
                <w:rFonts w:ascii="Aptos" w:hAnsi="Aptos"/>
                <w:b/>
                <w:color w:val="FFFFFF"/>
                <w:sz w:val="17"/>
              </w:rPr>
              <w:t>3 DAYS</w:t>
            </w:r>
          </w:p>
        </w:tc>
        <w:tc>
          <w:tcPr>
            <w:tcW w:type="dxa" w:w="8496"/>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Business Application / E-Commerce</w:t>
            </w:r>
          </w:p>
          <w:p>
            <w:pPr>
              <w:spacing w:before="0" w:after="80" w:line="252" w:lineRule="auto"/>
            </w:pPr>
            <w:r>
              <w:rPr>
                <w:rFonts w:ascii="Aptos" w:hAnsi="Aptos"/>
                <w:color w:val="18181B"/>
                <w:sz w:val="19"/>
              </w:rPr>
              <w:t>Build practical business functions such as product catalogue, cart/order flow, enquiry management, customer records or an equivalent system suited to the business.</w:t>
            </w:r>
          </w:p>
          <w:p>
            <w:pPr>
              <w:spacing w:before="0" w:after="0" w:line="240" w:lineRule="auto"/>
            </w:pPr>
            <w:r>
              <w:rPr>
                <w:rFonts w:ascii="Aptos" w:hAnsi="Aptos"/>
                <w:b/>
                <w:color w:val="C9152C"/>
                <w:sz w:val="18"/>
              </w:rPr>
              <w:t xml:space="preserve">Output: </w:t>
            </w:r>
            <w:r>
              <w:rPr>
                <w:rFonts w:ascii="Aptos" w:hAnsi="Aptos"/>
                <w:b/>
                <w:color w:val="18181B"/>
                <w:sz w:val="18"/>
              </w:rPr>
              <w:t>Working business application</w:t>
            </w:r>
          </w:p>
        </w:tc>
      </w:tr>
    </w:tbl>
    <w:p>
      <w:pPr>
        <w:spacing w:after="40"/>
      </w:pPr>
    </w:p>
    <w:tbl>
      <w:tblPr>
        <w:tblW w:type="auto" w:w="0"/>
        <w:jc w:val="center"/>
        <w:tblLayout w:type="fixed"/>
        <w:tblLook w:firstColumn="1" w:firstRow="1" w:lastColumn="0" w:lastRow="0" w:noHBand="0" w:noVBand="1" w:val="04A0"/>
      </w:tblPr>
      <w:tblGrid>
        <w:gridCol w:w="4917"/>
        <w:gridCol w:w="4917"/>
      </w:tblGrid>
      <w:tr>
        <w:trPr>
          <w:cantSplit/>
        </w:trPr>
        <w:tc>
          <w:tcPr>
            <w:tcW w:type="dxa" w:w="1584"/>
            <w:shd w:fill="C9152C"/>
            <w:tcMar>
              <w:top w:w="150" w:type="dxa"/>
              <w:start w:w="120" w:type="dxa"/>
              <w:bottom w:w="150" w:type="dxa"/>
              <w:end w:w="12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19"/>
              </w:rPr>
              <w:t>STAGE 3</w:t>
            </w:r>
          </w:p>
          <w:p>
            <w:pPr>
              <w:jc w:val="center"/>
            </w:pPr>
            <w:r>
              <w:rPr>
                <w:rFonts w:ascii="Aptos" w:hAnsi="Aptos"/>
                <w:b/>
                <w:color w:val="FFFFFF"/>
                <w:sz w:val="17"/>
              </w:rPr>
              <w:t>1 DAY</w:t>
            </w:r>
          </w:p>
        </w:tc>
        <w:tc>
          <w:tcPr>
            <w:tcW w:type="dxa" w:w="8496"/>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AI Business &amp; Digital Audit</w:t>
            </w:r>
          </w:p>
          <w:p>
            <w:pPr>
              <w:spacing w:before="0" w:after="80" w:line="252" w:lineRule="auto"/>
            </w:pPr>
            <w:r>
              <w:rPr>
                <w:rFonts w:ascii="Aptos" w:hAnsi="Aptos"/>
                <w:color w:val="18181B"/>
                <w:sz w:val="19"/>
              </w:rPr>
              <w:t>Use AI-assisted review to inspect website quality, content, SEO readiness, performance, workflow and improvement priorities.</w:t>
            </w:r>
          </w:p>
          <w:p>
            <w:pPr>
              <w:spacing w:before="0" w:after="0" w:line="240" w:lineRule="auto"/>
            </w:pPr>
            <w:r>
              <w:rPr>
                <w:rFonts w:ascii="Aptos" w:hAnsi="Aptos"/>
                <w:b/>
                <w:color w:val="C9152C"/>
                <w:sz w:val="18"/>
              </w:rPr>
              <w:t xml:space="preserve">Output: </w:t>
            </w:r>
            <w:r>
              <w:rPr>
                <w:rFonts w:ascii="Aptos" w:hAnsi="Aptos"/>
                <w:b/>
                <w:color w:val="18181B"/>
                <w:sz w:val="18"/>
              </w:rPr>
              <w:t>Audit + improvement plan</w:t>
            </w:r>
          </w:p>
        </w:tc>
      </w:tr>
    </w:tbl>
    <w:p>
      <w:pPr>
        <w:spacing w:after="40"/>
      </w:pPr>
    </w:p>
    <w:tbl>
      <w:tblPr>
        <w:tblW w:type="auto" w:w="0"/>
        <w:jc w:val="center"/>
        <w:tblLayout w:type="fixed"/>
        <w:tblLook w:firstColumn="1" w:firstRow="1" w:lastColumn="0" w:lastRow="0" w:noHBand="0" w:noVBand="1" w:val="04A0"/>
      </w:tblPr>
      <w:tblGrid>
        <w:gridCol w:w="4917"/>
        <w:gridCol w:w="4917"/>
      </w:tblGrid>
      <w:tr>
        <w:trPr>
          <w:cantSplit/>
        </w:trPr>
        <w:tc>
          <w:tcPr>
            <w:tcW w:type="dxa" w:w="1584"/>
            <w:shd w:fill="C9152C"/>
            <w:tcMar>
              <w:top w:w="150" w:type="dxa"/>
              <w:start w:w="120" w:type="dxa"/>
              <w:bottom w:w="150" w:type="dxa"/>
              <w:end w:w="12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19"/>
              </w:rPr>
              <w:t>STAGE 4</w:t>
            </w:r>
          </w:p>
          <w:p>
            <w:pPr>
              <w:jc w:val="center"/>
            </w:pPr>
            <w:r>
              <w:rPr>
                <w:rFonts w:ascii="Aptos" w:hAnsi="Aptos"/>
                <w:b/>
                <w:color w:val="FFFFFF"/>
                <w:sz w:val="17"/>
              </w:rPr>
              <w:t>3 DAYS</w:t>
            </w:r>
          </w:p>
        </w:tc>
        <w:tc>
          <w:tcPr>
            <w:tcW w:type="dxa" w:w="8496"/>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AI Business Management</w:t>
            </w:r>
          </w:p>
          <w:p>
            <w:pPr>
              <w:spacing w:before="0" w:after="80" w:line="252" w:lineRule="auto"/>
            </w:pPr>
            <w:r>
              <w:rPr>
                <w:rFonts w:ascii="Aptos" w:hAnsi="Aptos"/>
                <w:color w:val="18181B"/>
                <w:sz w:val="19"/>
              </w:rPr>
              <w:t>Create management visibility through sales, inventory and basic finance dashboards, then use Agent AI to interpret patterns, risks and next actions.</w:t>
            </w:r>
          </w:p>
          <w:p>
            <w:pPr>
              <w:spacing w:before="0" w:after="0" w:line="240" w:lineRule="auto"/>
            </w:pPr>
            <w:r>
              <w:rPr>
                <w:rFonts w:ascii="Aptos" w:hAnsi="Aptos"/>
                <w:b/>
                <w:color w:val="C9152C"/>
                <w:sz w:val="18"/>
              </w:rPr>
              <w:t xml:space="preserve">Output: </w:t>
            </w:r>
            <w:r>
              <w:rPr>
                <w:rFonts w:ascii="Aptos" w:hAnsi="Aptos"/>
                <w:b/>
                <w:color w:val="18181B"/>
                <w:sz w:val="18"/>
              </w:rPr>
              <w:t>Management dashboard + AI brief</w:t>
            </w:r>
          </w:p>
        </w:tc>
      </w:tr>
    </w:tbl>
    <w:p>
      <w:pPr>
        <w:spacing w:after="40"/>
      </w:pPr>
    </w:p>
    <w:tbl>
      <w:tblPr>
        <w:tblW w:type="auto" w:w="0"/>
        <w:jc w:val="center"/>
        <w:tblLayout w:type="fixed"/>
        <w:tblLook w:firstColumn="1" w:firstRow="1" w:lastColumn="0" w:lastRow="0" w:noHBand="0" w:noVBand="1" w:val="04A0"/>
      </w:tblPr>
      <w:tblGrid>
        <w:gridCol w:w="4917"/>
        <w:gridCol w:w="4917"/>
      </w:tblGrid>
      <w:tr>
        <w:trPr>
          <w:cantSplit/>
        </w:trPr>
        <w:tc>
          <w:tcPr>
            <w:tcW w:type="dxa" w:w="1584"/>
            <w:shd w:fill="C9152C"/>
            <w:tcMar>
              <w:top w:w="150" w:type="dxa"/>
              <w:start w:w="120" w:type="dxa"/>
              <w:bottom w:w="150" w:type="dxa"/>
              <w:end w:w="12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19"/>
              </w:rPr>
              <w:t>STAGE 5</w:t>
            </w:r>
          </w:p>
          <w:p>
            <w:pPr>
              <w:jc w:val="center"/>
            </w:pPr>
            <w:r>
              <w:rPr>
                <w:rFonts w:ascii="Aptos" w:hAnsi="Aptos"/>
                <w:b/>
                <w:color w:val="FFFFFF"/>
                <w:sz w:val="17"/>
              </w:rPr>
              <w:t>1 DAY</w:t>
            </w:r>
          </w:p>
        </w:tc>
        <w:tc>
          <w:tcPr>
            <w:tcW w:type="dxa" w:w="8496"/>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Integration &amp; Demo Day</w:t>
            </w:r>
          </w:p>
          <w:p>
            <w:pPr>
              <w:spacing w:before="0" w:after="80" w:line="252" w:lineRule="auto"/>
            </w:pPr>
            <w:r>
              <w:rPr>
                <w:rFonts w:ascii="Aptos" w:hAnsi="Aptos"/>
                <w:color w:val="18181B"/>
                <w:sz w:val="19"/>
              </w:rPr>
              <w:t>Integrate the working solution, present the actual SME use case and capture measurable baseline outcomes for post-programme adoption tracking.</w:t>
            </w:r>
          </w:p>
          <w:p>
            <w:pPr>
              <w:spacing w:before="0" w:after="0" w:line="240" w:lineRule="auto"/>
            </w:pPr>
            <w:r>
              <w:rPr>
                <w:rFonts w:ascii="Aptos" w:hAnsi="Aptos"/>
                <w:b/>
                <w:color w:val="C9152C"/>
                <w:sz w:val="18"/>
              </w:rPr>
              <w:t xml:space="preserve">Output: </w:t>
            </w:r>
            <w:r>
              <w:rPr>
                <w:rFonts w:ascii="Aptos" w:hAnsi="Aptos"/>
                <w:b/>
                <w:color w:val="18181B"/>
                <w:sz w:val="18"/>
              </w:rPr>
              <w:t>Working system + 90-day roadmap</w:t>
            </w:r>
          </w:p>
        </w:tc>
      </w:tr>
    </w:tbl>
    <w:p>
      <w:pPr>
        <w:spacing w:after="40"/>
      </w:pPr>
    </w:p>
    <w:p>
      <w:r>
        <w:br w:type="page"/>
      </w:r>
    </w:p>
    <w:p>
      <w:pPr>
        <w:keepNext/>
        <w:spacing w:before="80" w:after="60" w:line="240" w:lineRule="auto"/>
        <w:pBdr>
          <w:bottom w:val="single" w:sz="16" w:space="6" w:color="C9152C"/>
        </w:pBdr>
      </w:pPr>
      <w:r>
        <w:rPr>
          <w:rFonts w:ascii="Aptos" w:hAnsi="Aptos"/>
          <w:b/>
          <w:color w:val="C9152C"/>
          <w:sz w:val="34"/>
        </w:rPr>
        <w:t>4. SYSTEMS SME CAN BUILD OR UPGRADE</w:t>
      </w:r>
    </w:p>
    <w:p>
      <w:pPr>
        <w:spacing w:before="0" w:after="160" w:line="259" w:lineRule="auto"/>
      </w:pPr>
      <w:r>
        <w:rPr>
          <w:rFonts w:ascii="Aptos" w:hAnsi="Aptos"/>
          <w:b w:val="0"/>
          <w:i w:val="0"/>
          <w:color w:val="18181B"/>
          <w:sz w:val="21"/>
        </w:rPr>
        <w:t>The programme is modular. A food operator, service company, retailer and B2B SME should not be forced into the same system. The Agent AI environment is used to adapt the implementation to the business model.</w:t>
      </w:r>
    </w:p>
    <w:tbl>
      <w:tblPr>
        <w:tblW w:type="auto" w:w="0"/>
        <w:jc w:val="center"/>
        <w:tblLook w:firstColumn="1" w:firstRow="1" w:lastColumn="0" w:lastRow="0" w:noHBand="0" w:noVBand="1" w:val="04A0"/>
      </w:tblPr>
      <w:tblGrid>
        <w:gridCol w:w="4917"/>
        <w:gridCol w:w="4917"/>
      </w:tblGrid>
      <w:tr>
        <w:trPr>
          <w:cantSplit/>
        </w:trPr>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AFAFA"/>
          </w:tcPr>
          <w:p>
            <w:pPr>
              <w:spacing w:before="0" w:after="100" w:line="240" w:lineRule="auto"/>
            </w:pPr>
            <w:r>
              <w:rPr>
                <w:rFonts w:ascii="Aptos" w:hAnsi="Aptos"/>
                <w:b/>
                <w:color w:val="C9152C"/>
                <w:sz w:val="22"/>
              </w:rPr>
              <w:t>Digital Presence</w:t>
            </w:r>
          </w:p>
          <w:p>
            <w:pPr>
              <w:spacing w:before="0" w:after="40" w:line="240" w:lineRule="auto"/>
            </w:pPr>
            <w:r>
              <w:rPr>
                <w:rFonts w:ascii="Aptos" w:hAnsi="Aptos"/>
                <w:color w:val="18181B"/>
                <w:sz w:val="18"/>
              </w:rPr>
              <w:t>• Corporate website</w:t>
            </w:r>
          </w:p>
          <w:p>
            <w:pPr>
              <w:spacing w:before="0" w:after="40" w:line="240" w:lineRule="auto"/>
            </w:pPr>
            <w:r>
              <w:rPr>
                <w:rFonts w:ascii="Aptos" w:hAnsi="Aptos"/>
                <w:color w:val="18181B"/>
                <w:sz w:val="18"/>
              </w:rPr>
              <w:t>• Product/service catalogue</w:t>
            </w:r>
          </w:p>
          <w:p>
            <w:pPr>
              <w:spacing w:before="0" w:after="40" w:line="240" w:lineRule="auto"/>
            </w:pPr>
            <w:r>
              <w:rPr>
                <w:rFonts w:ascii="Aptos" w:hAnsi="Aptos"/>
                <w:color w:val="18181B"/>
                <w:sz w:val="18"/>
              </w:rPr>
              <w:t>• Lead/enquiry capture</w:t>
            </w:r>
          </w:p>
          <w:p>
            <w:pPr>
              <w:spacing w:before="0" w:after="40" w:line="240" w:lineRule="auto"/>
            </w:pPr>
            <w:r>
              <w:rPr>
                <w:rFonts w:ascii="Aptos" w:hAnsi="Aptos"/>
                <w:color w:val="18181B"/>
                <w:sz w:val="18"/>
              </w:rPr>
              <w:t>• SEO-ready content structure</w:t>
            </w:r>
          </w:p>
        </w:tc>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FF1F2"/>
          </w:tcPr>
          <w:p>
            <w:pPr>
              <w:spacing w:before="0" w:after="100" w:line="240" w:lineRule="auto"/>
            </w:pPr>
            <w:r>
              <w:rPr>
                <w:rFonts w:ascii="Aptos" w:hAnsi="Aptos"/>
                <w:b/>
                <w:color w:val="C9152C"/>
                <w:sz w:val="22"/>
              </w:rPr>
              <w:t>Sales &amp; Customer</w:t>
            </w:r>
          </w:p>
          <w:p>
            <w:pPr>
              <w:spacing w:before="0" w:after="40" w:line="240" w:lineRule="auto"/>
            </w:pPr>
            <w:r>
              <w:rPr>
                <w:rFonts w:ascii="Aptos" w:hAnsi="Aptos"/>
                <w:color w:val="18181B"/>
                <w:sz w:val="18"/>
              </w:rPr>
              <w:t>• Customer/order records</w:t>
            </w:r>
          </w:p>
          <w:p>
            <w:pPr>
              <w:spacing w:before="0" w:after="40" w:line="240" w:lineRule="auto"/>
            </w:pPr>
            <w:r>
              <w:rPr>
                <w:rFonts w:ascii="Aptos" w:hAnsi="Aptos"/>
                <w:color w:val="18181B"/>
                <w:sz w:val="18"/>
              </w:rPr>
              <w:t>• Quotation/invoice workflow where scoped</w:t>
            </w:r>
          </w:p>
          <w:p>
            <w:pPr>
              <w:spacing w:before="0" w:after="40" w:line="240" w:lineRule="auto"/>
            </w:pPr>
            <w:r>
              <w:rPr>
                <w:rFonts w:ascii="Aptos" w:hAnsi="Aptos"/>
                <w:color w:val="18181B"/>
                <w:sz w:val="18"/>
              </w:rPr>
              <w:t>• Follow-up workflow</w:t>
            </w:r>
          </w:p>
          <w:p>
            <w:pPr>
              <w:spacing w:before="0" w:after="40" w:line="240" w:lineRule="auto"/>
            </w:pPr>
            <w:r>
              <w:rPr>
                <w:rFonts w:ascii="Aptos" w:hAnsi="Aptos"/>
                <w:color w:val="18181B"/>
                <w:sz w:val="18"/>
              </w:rPr>
              <w:t>• Simple CRM visibility</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FF1F2"/>
          </w:tcPr>
          <w:p>
            <w:pPr>
              <w:spacing w:before="0" w:after="100" w:line="240" w:lineRule="auto"/>
            </w:pPr>
            <w:r>
              <w:rPr>
                <w:rFonts w:ascii="Aptos" w:hAnsi="Aptos"/>
                <w:b/>
                <w:color w:val="C9152C"/>
                <w:sz w:val="22"/>
              </w:rPr>
              <w:t>Commerce &amp; Orders</w:t>
            </w:r>
          </w:p>
          <w:p>
            <w:pPr>
              <w:spacing w:before="0" w:after="40" w:line="240" w:lineRule="auto"/>
            </w:pPr>
            <w:r>
              <w:rPr>
                <w:rFonts w:ascii="Aptos" w:hAnsi="Aptos"/>
                <w:color w:val="18181B"/>
                <w:sz w:val="18"/>
              </w:rPr>
              <w:t>• Product catalogue</w:t>
            </w:r>
          </w:p>
          <w:p>
            <w:pPr>
              <w:spacing w:before="0" w:after="40" w:line="240" w:lineRule="auto"/>
            </w:pPr>
            <w:r>
              <w:rPr>
                <w:rFonts w:ascii="Aptos" w:hAnsi="Aptos"/>
                <w:color w:val="18181B"/>
                <w:sz w:val="18"/>
              </w:rPr>
              <w:t>• Cart/order request</w:t>
            </w:r>
          </w:p>
          <w:p>
            <w:pPr>
              <w:spacing w:before="0" w:after="40" w:line="240" w:lineRule="auto"/>
            </w:pPr>
            <w:r>
              <w:rPr>
                <w:rFonts w:ascii="Aptos" w:hAnsi="Aptos"/>
                <w:color w:val="18181B"/>
                <w:sz w:val="18"/>
              </w:rPr>
              <w:t>• Checkout/payment sandbox where relevant</w:t>
            </w:r>
          </w:p>
          <w:p>
            <w:pPr>
              <w:spacing w:before="0" w:after="40" w:line="240" w:lineRule="auto"/>
            </w:pPr>
            <w:r>
              <w:rPr>
                <w:rFonts w:ascii="Aptos" w:hAnsi="Aptos"/>
                <w:color w:val="18181B"/>
                <w:sz w:val="18"/>
              </w:rPr>
              <w:t>• Order-status workflow</w:t>
            </w:r>
          </w:p>
        </w:tc>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AFAFA"/>
          </w:tcPr>
          <w:p>
            <w:pPr>
              <w:spacing w:before="0" w:after="100" w:line="240" w:lineRule="auto"/>
            </w:pPr>
            <w:r>
              <w:rPr>
                <w:rFonts w:ascii="Aptos" w:hAnsi="Aptos"/>
                <w:b/>
                <w:color w:val="C9152C"/>
                <w:sz w:val="22"/>
              </w:rPr>
              <w:t>Inventory &amp; Operations</w:t>
            </w:r>
          </w:p>
          <w:p>
            <w:pPr>
              <w:spacing w:before="0" w:after="40" w:line="240" w:lineRule="auto"/>
            </w:pPr>
            <w:r>
              <w:rPr>
                <w:rFonts w:ascii="Aptos" w:hAnsi="Aptos"/>
                <w:color w:val="18181B"/>
                <w:sz w:val="18"/>
              </w:rPr>
              <w:t>• Stock dashboard</w:t>
            </w:r>
          </w:p>
          <w:p>
            <w:pPr>
              <w:spacing w:before="0" w:after="40" w:line="240" w:lineRule="auto"/>
            </w:pPr>
            <w:r>
              <w:rPr>
                <w:rFonts w:ascii="Aptos" w:hAnsi="Aptos"/>
                <w:color w:val="18181B"/>
                <w:sz w:val="18"/>
              </w:rPr>
              <w:t>• Material usage logic where data exists</w:t>
            </w:r>
          </w:p>
          <w:p>
            <w:pPr>
              <w:spacing w:before="0" w:after="40" w:line="240" w:lineRule="auto"/>
            </w:pPr>
            <w:r>
              <w:rPr>
                <w:rFonts w:ascii="Aptos" w:hAnsi="Aptos"/>
                <w:color w:val="18181B"/>
                <w:sz w:val="18"/>
              </w:rPr>
              <w:t>• Reorder/reminder workflow</w:t>
            </w:r>
          </w:p>
          <w:p>
            <w:pPr>
              <w:spacing w:before="0" w:after="40" w:line="240" w:lineRule="auto"/>
            </w:pPr>
            <w:r>
              <w:rPr>
                <w:rFonts w:ascii="Aptos" w:hAnsi="Aptos"/>
                <w:color w:val="18181B"/>
                <w:sz w:val="18"/>
              </w:rPr>
              <w:t>• Operational status board</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AFAFA"/>
          </w:tcPr>
          <w:p>
            <w:pPr>
              <w:spacing w:before="0" w:after="100" w:line="240" w:lineRule="auto"/>
            </w:pPr>
            <w:r>
              <w:rPr>
                <w:rFonts w:ascii="Aptos" w:hAnsi="Aptos"/>
                <w:b/>
                <w:color w:val="C9152C"/>
                <w:sz w:val="22"/>
              </w:rPr>
              <w:t>Finance Visibility</w:t>
            </w:r>
          </w:p>
          <w:p>
            <w:pPr>
              <w:spacing w:before="0" w:after="40" w:line="240" w:lineRule="auto"/>
            </w:pPr>
            <w:r>
              <w:rPr>
                <w:rFonts w:ascii="Aptos" w:hAnsi="Aptos"/>
                <w:color w:val="18181B"/>
                <w:sz w:val="18"/>
              </w:rPr>
              <w:t>• Order/sales records</w:t>
            </w:r>
          </w:p>
          <w:p>
            <w:pPr>
              <w:spacing w:before="0" w:after="40" w:line="240" w:lineRule="auto"/>
            </w:pPr>
            <w:r>
              <w:rPr>
                <w:rFonts w:ascii="Aptos" w:hAnsi="Aptos"/>
                <w:color w:val="18181B"/>
                <w:sz w:val="18"/>
              </w:rPr>
              <w:t>• Basic cash-flow visibility</w:t>
            </w:r>
          </w:p>
          <w:p>
            <w:pPr>
              <w:spacing w:before="0" w:after="40" w:line="240" w:lineRule="auto"/>
            </w:pPr>
            <w:r>
              <w:rPr>
                <w:rFonts w:ascii="Aptos" w:hAnsi="Aptos"/>
                <w:color w:val="18181B"/>
                <w:sz w:val="18"/>
              </w:rPr>
              <w:t>• Management summary</w:t>
            </w:r>
          </w:p>
          <w:p>
            <w:pPr>
              <w:spacing w:before="0" w:after="40" w:line="240" w:lineRule="auto"/>
            </w:pPr>
            <w:r>
              <w:rPr>
                <w:rFonts w:ascii="Aptos" w:hAnsi="Aptos"/>
                <w:color w:val="18181B"/>
                <w:sz w:val="18"/>
              </w:rPr>
              <w:t>• Export-ready structured records</w:t>
            </w:r>
          </w:p>
        </w:tc>
        <w:tc>
          <w:tcPr>
            <w:tcW w:type="dxa" w:w="4917"/>
            <w:tcMar>
              <w:top w:w="140" w:type="dxa"/>
              <w:start w:w="160" w:type="dxa"/>
              <w:bottom w:w="140" w:type="dxa"/>
              <w:end w:w="160" w:type="dxa"/>
            </w:tcMar>
            <w:tcBorders>
              <w:top w:val="single" w:sz="5" w:color="E4E4E7"/>
              <w:left w:val="single" w:sz="5" w:color="E4E4E7"/>
              <w:bottom w:val="single" w:sz="5" w:color="E4E4E7"/>
              <w:right w:val="single" w:sz="5" w:color="E4E4E7"/>
            </w:tcBorders>
            <w:shd w:fill="FFF1F2"/>
          </w:tcPr>
          <w:p>
            <w:pPr>
              <w:spacing w:before="0" w:after="100" w:line="240" w:lineRule="auto"/>
            </w:pPr>
            <w:r>
              <w:rPr>
                <w:rFonts w:ascii="Aptos" w:hAnsi="Aptos"/>
                <w:b/>
                <w:color w:val="C9152C"/>
                <w:sz w:val="22"/>
              </w:rPr>
              <w:t>AI &amp; Automation</w:t>
            </w:r>
          </w:p>
          <w:p>
            <w:pPr>
              <w:spacing w:before="0" w:after="40" w:line="240" w:lineRule="auto"/>
            </w:pPr>
            <w:r>
              <w:rPr>
                <w:rFonts w:ascii="Aptos" w:hAnsi="Aptos"/>
                <w:color w:val="18181B"/>
                <w:sz w:val="18"/>
              </w:rPr>
              <w:t>• Business analysis</w:t>
            </w:r>
          </w:p>
          <w:p>
            <w:pPr>
              <w:spacing w:before="0" w:after="40" w:line="240" w:lineRule="auto"/>
            </w:pPr>
            <w:r>
              <w:rPr>
                <w:rFonts w:ascii="Aptos" w:hAnsi="Aptos"/>
                <w:color w:val="18181B"/>
                <w:sz w:val="18"/>
              </w:rPr>
              <w:t>• Content/marketing assistance</w:t>
            </w:r>
          </w:p>
          <w:p>
            <w:pPr>
              <w:spacing w:before="0" w:after="40" w:line="240" w:lineRule="auto"/>
            </w:pPr>
            <w:r>
              <w:rPr>
                <w:rFonts w:ascii="Aptos" w:hAnsi="Aptos"/>
                <w:color w:val="18181B"/>
                <w:sz w:val="18"/>
              </w:rPr>
              <w:t>• Audit and improvement suggestions</w:t>
            </w:r>
          </w:p>
          <w:p>
            <w:pPr>
              <w:spacing w:before="0" w:after="40" w:line="240" w:lineRule="auto"/>
            </w:pPr>
            <w:r>
              <w:rPr>
                <w:rFonts w:ascii="Aptos" w:hAnsi="Aptos"/>
                <w:color w:val="18181B"/>
                <w:sz w:val="18"/>
              </w:rPr>
              <w:t>• Selected repetitive-task automation</w:t>
            </w:r>
          </w:p>
        </w:tc>
      </w:tr>
    </w:tbl>
    <w:p>
      <w:pPr>
        <w:spacing w:after="40"/>
      </w:pPr>
    </w:p>
    <w:tbl>
      <w:tblPr>
        <w:tblW w:type="auto" w:w="0"/>
        <w:jc w:val="center"/>
        <w:tblLayout w:type="fixed"/>
        <w:tblLook w:firstColumn="1" w:firstRow="1" w:lastColumn="0" w:lastRow="0" w:noHBand="0" w:noVBand="1" w:val="04A0"/>
      </w:tblPr>
      <w:tblGrid>
        <w:gridCol w:w="9835"/>
      </w:tblGrid>
      <w:tr>
        <w:trPr>
          <w:cantSplit/>
        </w:trPr>
        <w:tc>
          <w:tcPr>
            <w:tcW w:type="dxa" w:w="9835"/>
            <w:shd w:fill="F8FAFC"/>
            <w:tcMar>
              <w:top w:w="135" w:type="dxa"/>
              <w:start w:w="170" w:type="dxa"/>
              <w:bottom w:w="135" w:type="dxa"/>
              <w:end w:w="170" w:type="dxa"/>
            </w:tcMar>
            <w:tcBorders>
              <w:left w:val="single" w:sz="12" w:color="2B2D31"/>
            </w:tcBorders>
          </w:tcPr>
          <w:p>
            <w:pPr>
              <w:spacing w:before="0" w:after="60" w:line="240" w:lineRule="auto"/>
            </w:pPr>
            <w:r>
              <w:rPr>
                <w:rFonts w:ascii="Aptos" w:hAnsi="Aptos"/>
                <w:b/>
                <w:color w:val="2B2D31"/>
                <w:sz w:val="23"/>
              </w:rPr>
              <w:t>Architecture principle</w:t>
            </w:r>
          </w:p>
          <w:p>
            <w:pPr>
              <w:spacing w:before="0" w:after="0" w:line="259" w:lineRule="auto"/>
            </w:pPr>
            <w:r>
              <w:rPr>
                <w:rFonts w:ascii="Aptos" w:hAnsi="Aptos"/>
                <w:color w:val="18181B"/>
                <w:sz w:val="20"/>
              </w:rPr>
              <w:t>Use AI where intelligence is needed. Use normal software, rules, parsers and detached automation where deterministic execution is enough. This keeps the SME solution practical and reduces unnecessary AI dependence.</w:t>
            </w:r>
          </w:p>
        </w:tc>
      </w:tr>
    </w:tbl>
    <w:p>
      <w:pPr>
        <w:spacing w:after="0"/>
      </w:pPr>
    </w:p>
    <w:p>
      <w:pPr>
        <w:keepNext/>
        <w:spacing w:before="80" w:after="60" w:line="240" w:lineRule="auto"/>
      </w:pPr>
      <w:r>
        <w:rPr>
          <w:rFonts w:ascii="Aptos" w:hAnsi="Aptos"/>
          <w:b/>
          <w:color w:val="18181B"/>
          <w:sz w:val="25"/>
        </w:rPr>
        <w:t>What this is not</w:t>
      </w:r>
    </w:p>
    <w:p>
      <w:pPr>
        <w:pStyle w:val="ListBullet"/>
        <w:spacing w:before="0" w:after="60" w:line="252" w:lineRule="auto"/>
        <w:ind w:left="259" w:hanging="173"/>
      </w:pPr>
      <w:r>
        <w:rPr>
          <w:rFonts w:ascii="Aptos" w:hAnsi="Aptos"/>
          <w:color w:val="18181B"/>
          <w:sz w:val="20"/>
        </w:rPr>
        <w:t>Not a promise that one generic system fits all SME sectors.</w:t>
      </w:r>
    </w:p>
    <w:p>
      <w:pPr>
        <w:pStyle w:val="ListBullet"/>
        <w:spacing w:before="0" w:after="60" w:line="252" w:lineRule="auto"/>
        <w:ind w:left="259" w:hanging="173"/>
      </w:pPr>
      <w:r>
        <w:rPr>
          <w:rFonts w:ascii="Aptos" w:hAnsi="Aptos"/>
          <w:color w:val="18181B"/>
          <w:sz w:val="20"/>
        </w:rPr>
        <w:t>Not a replacement for licensed accountants, tax agents, legal advisers or regulated professional services.</w:t>
      </w:r>
    </w:p>
    <w:p>
      <w:pPr>
        <w:pStyle w:val="ListBullet"/>
        <w:spacing w:before="0" w:after="60" w:line="252" w:lineRule="auto"/>
        <w:ind w:left="259" w:hanging="173"/>
      </w:pPr>
      <w:r>
        <w:rPr>
          <w:rFonts w:ascii="Aptos" w:hAnsi="Aptos"/>
          <w:color w:val="18181B"/>
          <w:sz w:val="20"/>
        </w:rPr>
        <w:t>Not a programme that requires every transaction or repetitive task to be sent to an LLM.</w:t>
      </w:r>
    </w:p>
    <w:p>
      <w:r>
        <w:br w:type="page"/>
      </w:r>
    </w:p>
    <w:p>
      <w:pPr>
        <w:keepNext/>
        <w:spacing w:before="80" w:after="60" w:line="240" w:lineRule="auto"/>
        <w:pBdr>
          <w:bottom w:val="single" w:sz="16" w:space="6" w:color="C9152C"/>
        </w:pBdr>
      </w:pPr>
      <w:r>
        <w:rPr>
          <w:rFonts w:ascii="Aptos" w:hAnsi="Aptos"/>
          <w:b/>
          <w:color w:val="C9152C"/>
          <w:sz w:val="34"/>
        </w:rPr>
        <w:t>5. 30-SME PILOT IMPLEMENTATION MODEL</w:t>
      </w:r>
    </w:p>
    <w:tbl>
      <w:tblPr>
        <w:tblW w:type="auto" w:w="0"/>
        <w:jc w:val="center"/>
        <w:tblLayout w:type="autofit"/>
        <w:tblLook w:firstColumn="1" w:firstRow="1" w:lastColumn="0" w:lastRow="0" w:noHBand="0" w:noVBand="1" w:val="04A0"/>
      </w:tblPr>
      <w:tblGrid>
        <w:gridCol w:w="2459"/>
        <w:gridCol w:w="2459"/>
        <w:gridCol w:w="2459"/>
        <w:gridCol w:w="2459"/>
      </w:tblGrid>
      <w:tr>
        <w:trPr>
          <w:cantSplit/>
        </w:trPr>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1</w:t>
            </w:r>
          </w:p>
          <w:p>
            <w:pPr>
              <w:spacing w:before="0" w:after="0" w:line="240" w:lineRule="auto"/>
              <w:jc w:val="center"/>
            </w:pPr>
            <w:r>
              <w:rPr>
                <w:rFonts w:ascii="Aptos" w:hAnsi="Aptos"/>
                <w:b/>
                <w:color w:val="18181B"/>
                <w:sz w:val="17"/>
              </w:rPr>
              <w:t>PUSMA / STATE PILOT</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30</w:t>
            </w:r>
          </w:p>
          <w:p>
            <w:pPr>
              <w:spacing w:before="0" w:after="0" w:line="240" w:lineRule="auto"/>
              <w:jc w:val="center"/>
            </w:pPr>
            <w:r>
              <w:rPr>
                <w:rFonts w:ascii="Aptos" w:hAnsi="Aptos"/>
                <w:b/>
                <w:color w:val="18181B"/>
                <w:sz w:val="17"/>
              </w:rPr>
              <w:t>SELECTED SMEs</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5</w:t>
            </w:r>
          </w:p>
          <w:p>
            <w:pPr>
              <w:spacing w:before="0" w:after="0" w:line="240" w:lineRule="auto"/>
              <w:jc w:val="center"/>
            </w:pPr>
            <w:r>
              <w:rPr>
                <w:rFonts w:ascii="Aptos" w:hAnsi="Aptos"/>
                <w:b/>
                <w:color w:val="18181B"/>
                <w:sz w:val="17"/>
              </w:rPr>
              <w:t>BUILD STAGES</w:t>
            </w:r>
          </w:p>
        </w:tc>
        <w:tc>
          <w:tcPr>
            <w:tcW w:type="dxa" w:w="2459"/>
            <w:shd w:fill="F4F4F5"/>
            <w:tcMar>
              <w:top w:w="130" w:type="dxa"/>
              <w:start w:w="100" w:type="dxa"/>
              <w:bottom w:w="130" w:type="dxa"/>
              <w:end w:w="100" w:type="dxa"/>
            </w:tcMar>
            <w:tcBorders>
              <w:top w:val="single" w:sz="5" w:color="E4E4E7"/>
              <w:left w:val="single" w:sz="5" w:color="E4E4E7"/>
              <w:bottom w:val="single" w:sz="5" w:color="E4E4E7"/>
              <w:right w:val="single" w:sz="5" w:color="E4E4E7"/>
            </w:tcBorders>
            <w:vAlign w:val="center"/>
          </w:tcPr>
          <w:p>
            <w:pPr>
              <w:spacing w:before="0" w:after="40" w:line="240" w:lineRule="auto"/>
              <w:jc w:val="center"/>
            </w:pPr>
            <w:r>
              <w:rPr>
                <w:rFonts w:ascii="Aptos" w:hAnsi="Aptos"/>
                <w:b/>
                <w:color w:val="C9152C"/>
                <w:sz w:val="40"/>
              </w:rPr>
              <w:t>90</w:t>
            </w:r>
          </w:p>
          <w:p>
            <w:pPr>
              <w:spacing w:before="0" w:after="0" w:line="240" w:lineRule="auto"/>
              <w:jc w:val="center"/>
            </w:pPr>
            <w:r>
              <w:rPr>
                <w:rFonts w:ascii="Aptos" w:hAnsi="Aptos"/>
                <w:b/>
                <w:color w:val="18181B"/>
                <w:sz w:val="17"/>
              </w:rPr>
              <w:t>DAY ADOPTION REVIEW</w:t>
            </w:r>
          </w:p>
        </w:tc>
      </w:tr>
    </w:tbl>
    <w:p>
      <w:pPr>
        <w:keepNext/>
        <w:spacing w:before="80" w:after="60" w:line="240" w:lineRule="auto"/>
      </w:pPr>
      <w:r>
        <w:rPr>
          <w:rFonts w:ascii="Aptos" w:hAnsi="Aptos"/>
          <w:b/>
          <w:color w:val="18181B"/>
          <w:sz w:val="25"/>
        </w:rPr>
        <w:t>Proposed delivery model</w:t>
      </w: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MARA / BPU</w:t>
            </w:r>
          </w:p>
          <w:p>
            <w:pPr>
              <w:spacing w:before="0" w:after="0" w:line="259" w:lineRule="auto"/>
            </w:pPr>
            <w:r>
              <w:rPr>
                <w:rFonts w:ascii="Aptos" w:hAnsi="Aptos"/>
                <w:color w:val="18181B"/>
                <w:sz w:val="20"/>
              </w:rPr>
              <w:t>Programme governance, pilot objectives, selection criteria and agreed outcome framework.</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PUSMA / MARA Negeri</w:t>
            </w:r>
          </w:p>
          <w:p>
            <w:pPr>
              <w:spacing w:before="0" w:after="0" w:line="259" w:lineRule="auto"/>
            </w:pPr>
            <w:r>
              <w:rPr>
                <w:rFonts w:ascii="Aptos" w:hAnsi="Aptos"/>
                <w:color w:val="18181B"/>
                <w:sz w:val="20"/>
              </w:rPr>
              <w:t>Participant coordination, local engagement, venue/logistics coordination and programme liaison.</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AINNA</w:t>
            </w:r>
          </w:p>
          <w:p>
            <w:pPr>
              <w:spacing w:before="0" w:after="0" w:line="259" w:lineRule="auto"/>
            </w:pPr>
            <w:r>
              <w:rPr>
                <w:rFonts w:ascii="Aptos" w:hAnsi="Aptos"/>
                <w:color w:val="18181B"/>
                <w:sz w:val="20"/>
              </w:rPr>
              <w:t>Agent AI environment, trainers, technical methodology, deployment environment, NeuralOps approach and implementation support.</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SME Participants</w:t>
            </w:r>
          </w:p>
          <w:p>
            <w:pPr>
              <w:spacing w:before="0" w:after="0" w:line="259" w:lineRule="auto"/>
            </w:pPr>
            <w:r>
              <w:rPr>
                <w:rFonts w:ascii="Aptos" w:hAnsi="Aptos"/>
                <w:color w:val="18181B"/>
                <w:sz w:val="20"/>
              </w:rPr>
              <w:t>Provide real business information, build their own solution, validate workflows, adopt the system and report practical outcomes.</w:t>
            </w:r>
          </w:p>
        </w:tc>
      </w:tr>
    </w:tbl>
    <w:p>
      <w:pPr>
        <w:spacing w:after="0"/>
      </w:pPr>
    </w:p>
    <w:p>
      <w:pPr>
        <w:keepNext/>
        <w:spacing w:before="80" w:after="60" w:line="240" w:lineRule="auto"/>
      </w:pPr>
      <w:r>
        <w:rPr>
          <w:rFonts w:ascii="Aptos" w:hAnsi="Aptos"/>
          <w:b/>
          <w:color w:val="18181B"/>
          <w:sz w:val="25"/>
        </w:rPr>
        <w:t>Suggested participant readiness</w:t>
      </w:r>
    </w:p>
    <w:p>
      <w:pPr>
        <w:pStyle w:val="ListBullet"/>
        <w:spacing w:before="0" w:after="60" w:line="252" w:lineRule="auto"/>
        <w:ind w:left="259" w:hanging="173"/>
      </w:pPr>
      <w:r>
        <w:rPr>
          <w:rFonts w:ascii="Aptos" w:hAnsi="Aptos"/>
          <w:color w:val="18181B"/>
          <w:sz w:val="20"/>
        </w:rPr>
        <w:t>Existing SME with an active product or service and a named owner/decision maker participating.</w:t>
      </w:r>
    </w:p>
    <w:p>
      <w:pPr>
        <w:pStyle w:val="ListBullet"/>
        <w:spacing w:before="0" w:after="60" w:line="252" w:lineRule="auto"/>
        <w:ind w:left="259" w:hanging="173"/>
      </w:pPr>
      <w:r>
        <w:rPr>
          <w:rFonts w:ascii="Aptos" w:hAnsi="Aptos"/>
          <w:color w:val="18181B"/>
          <w:sz w:val="20"/>
        </w:rPr>
        <w:t>Able to provide basic company, brand, product/service and operational information.</w:t>
      </w:r>
    </w:p>
    <w:p>
      <w:pPr>
        <w:pStyle w:val="ListBullet"/>
        <w:spacing w:before="0" w:after="60" w:line="252" w:lineRule="auto"/>
        <w:ind w:left="259" w:hanging="173"/>
      </w:pPr>
      <w:r>
        <w:rPr>
          <w:rFonts w:ascii="Aptos" w:hAnsi="Aptos"/>
          <w:color w:val="18181B"/>
          <w:sz w:val="20"/>
        </w:rPr>
        <w:t>Willing to use the system after training and participate in 30/60/90-day adoption measurement.</w:t>
      </w:r>
    </w:p>
    <w:p>
      <w:pPr>
        <w:pStyle w:val="ListBullet"/>
        <w:spacing w:before="0" w:after="60" w:line="252" w:lineRule="auto"/>
        <w:ind w:left="259" w:hanging="173"/>
      </w:pPr>
      <w:r>
        <w:rPr>
          <w:rFonts w:ascii="Aptos" w:hAnsi="Aptos"/>
          <w:color w:val="18181B"/>
          <w:sz w:val="20"/>
        </w:rPr>
        <w:t>Priority can be given to SMEs with clear repetitive workflow, digital-sales, customer-management or operational pain points.</w:t>
      </w:r>
    </w:p>
    <w:p>
      <w:pPr>
        <w:keepNext/>
        <w:spacing w:before="80" w:after="60" w:line="240" w:lineRule="auto"/>
      </w:pPr>
      <w:r>
        <w:rPr>
          <w:rFonts w:ascii="Aptos" w:hAnsi="Aptos"/>
          <w:b/>
          <w:color w:val="18181B"/>
          <w:sz w:val="25"/>
        </w:rPr>
        <w:t>Pilot safeguards</w:t>
      </w:r>
    </w:p>
    <w:p>
      <w:pPr>
        <w:pStyle w:val="ListBullet"/>
        <w:spacing w:before="0" w:after="60" w:line="252" w:lineRule="auto"/>
        <w:ind w:left="259" w:hanging="173"/>
      </w:pPr>
      <w:r>
        <w:rPr>
          <w:rFonts w:ascii="Aptos" w:hAnsi="Aptos"/>
          <w:color w:val="18181B"/>
          <w:sz w:val="20"/>
        </w:rPr>
        <w:t>Baseline assessment before implementation so outcome can be measured rather than assumed.</w:t>
      </w:r>
    </w:p>
    <w:p>
      <w:pPr>
        <w:pStyle w:val="ListBullet"/>
        <w:spacing w:before="0" w:after="60" w:line="252" w:lineRule="auto"/>
        <w:ind w:left="259" w:hanging="173"/>
      </w:pPr>
      <w:r>
        <w:rPr>
          <w:rFonts w:ascii="Aptos" w:hAnsi="Aptos"/>
          <w:color w:val="18181B"/>
          <w:sz w:val="20"/>
        </w:rPr>
        <w:t>No access to sensitive financial or customer information beyond what the SME voluntarily provides for the agreed use case.</w:t>
      </w:r>
    </w:p>
    <w:p>
      <w:pPr>
        <w:pStyle w:val="ListBullet"/>
        <w:spacing w:before="0" w:after="60" w:line="252" w:lineRule="auto"/>
        <w:ind w:left="259" w:hanging="173"/>
      </w:pPr>
      <w:r>
        <w:rPr>
          <w:rFonts w:ascii="Aptos" w:hAnsi="Aptos"/>
          <w:color w:val="18181B"/>
          <w:sz w:val="20"/>
        </w:rPr>
        <w:t>Scope per SME is documented to prevent uncontrolled feature expansion during the training cohort.</w:t>
      </w:r>
    </w:p>
    <w:p>
      <w:r>
        <w:br w:type="page"/>
      </w:r>
    </w:p>
    <w:p>
      <w:pPr>
        <w:keepNext/>
        <w:spacing w:before="80" w:after="60" w:line="240" w:lineRule="auto"/>
        <w:pBdr>
          <w:bottom w:val="single" w:sz="16" w:space="6" w:color="C9152C"/>
        </w:pBdr>
      </w:pPr>
      <w:r>
        <w:rPr>
          <w:rFonts w:ascii="Aptos" w:hAnsi="Aptos"/>
          <w:b/>
          <w:color w:val="C9152C"/>
          <w:sz w:val="34"/>
        </w:rPr>
        <w:t>6. KPI AND MEASURABLE OUTCOMES</w:t>
      </w:r>
    </w:p>
    <w:p>
      <w:pPr>
        <w:spacing w:before="0" w:after="160" w:line="259" w:lineRule="auto"/>
      </w:pPr>
      <w:r>
        <w:rPr>
          <w:rFonts w:ascii="Aptos" w:hAnsi="Aptos"/>
          <w:b w:val="0"/>
          <w:i w:val="0"/>
          <w:color w:val="18181B"/>
          <w:sz w:val="21"/>
        </w:rPr>
        <w:t>The pilot should be judged by working outputs and continued adoption, not by attendance alone.</w:t>
      </w:r>
    </w:p>
    <w:tbl>
      <w:tblPr>
        <w:tblW w:type="auto" w:w="0"/>
        <w:jc w:val="center"/>
        <w:tblLook w:firstColumn="1" w:firstRow="1" w:lastColumn="0" w:lastRow="0" w:noHBand="0" w:noVBand="1" w:val="04A0"/>
      </w:tblPr>
      <w:tblGrid>
        <w:gridCol w:w="3278"/>
        <w:gridCol w:w="3278"/>
        <w:gridCol w:w="3278"/>
      </w:tblGrid>
      <w:tr>
        <w:trPr>
          <w:tblHeader w:val="true"/>
          <w:cantSplit/>
        </w:trPr>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r>
              <w:rPr>
                <w:rFonts w:ascii="Aptos" w:hAnsi="Aptos"/>
                <w:b/>
                <w:color w:val="FFFFFF"/>
                <w:sz w:val="17"/>
              </w:rPr>
              <w:t>KPI</w:t>
            </w:r>
          </w:p>
        </w:tc>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r>
              <w:rPr>
                <w:rFonts w:ascii="Aptos" w:hAnsi="Aptos"/>
                <w:b/>
                <w:color w:val="FFFFFF"/>
                <w:sz w:val="17"/>
              </w:rPr>
              <w:t>PILOT MEASURE</w:t>
            </w:r>
          </w:p>
        </w:tc>
        <w:tc>
          <w:tcPr>
            <w:tcW w:type="dxa" w:w="3278"/>
            <w:shd w:fill="18181B"/>
            <w:tcMar>
              <w:top w:w="100" w:type="dxa"/>
              <w:start w:w="100" w:type="dxa"/>
              <w:bottom w:w="100" w:type="dxa"/>
              <w:end w:w="100" w:type="dxa"/>
            </w:tcMar>
            <w:tcBorders>
              <w:top w:val="single" w:sz="4" w:color="18181B"/>
              <w:left w:val="single" w:sz="4" w:color="18181B"/>
              <w:bottom w:val="single" w:sz="4" w:color="18181B"/>
              <w:right w:val="single" w:sz="4" w:color="18181B"/>
            </w:tcBorders>
          </w:tcPr>
          <w:p>
            <w:r>
              <w:rPr>
                <w:rFonts w:ascii="Aptos" w:hAnsi="Aptos"/>
                <w:b/>
                <w:color w:val="FFFFFF"/>
                <w:sz w:val="17"/>
              </w:rPr>
              <w:t>EVIDENCE</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Onboarding</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30 SME participants complete baseline profile and use-case definition.</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Programme records</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Agent Activation</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Each participant activates and uses the AINNA Agent AI environment.</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Usage / activity evidence</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System Output</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Each SME builds or materially upgrades at least one working digital business asset/system.</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Demo / deployment evidence</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Automation</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Each SME implements at least one practical automation or AI-enabled workflow where suitable.</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Workflow demonstration</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Management Visibility</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Relevant SMEs establish dashboard visibility for selected sales, order, stock or basic finance metrics.</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Dashboard evidence</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Adoption</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Continued usage reviewed at 30, 60 and 90 days.</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Post-programme review</w:t>
            </w:r>
          </w:p>
        </w:tc>
      </w:tr>
      <w:tr>
        <w:trPr>
          <w:cantSplit/>
        </w:trPr>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shd w:fill="FFF1F2"/>
          </w:tcPr>
          <w:p>
            <w:r>
              <w:rPr>
                <w:rFonts w:ascii="Aptos" w:hAnsi="Aptos"/>
                <w:b/>
                <w:color w:val="C9152C"/>
                <w:sz w:val="18"/>
              </w:rPr>
              <w:t>Business Impact</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Track time saved, lead/order changes, reduced manual steps or other use-case-specific outcome.</w:t>
            </w:r>
          </w:p>
        </w:tc>
        <w:tc>
          <w:tcPr>
            <w:tcW w:type="dxa" w:w="3278"/>
            <w:tcMar>
              <w:top w:w="105" w:type="dxa"/>
              <w:start w:w="100" w:type="dxa"/>
              <w:bottom w:w="105" w:type="dxa"/>
              <w:end w:w="100" w:type="dxa"/>
            </w:tcMar>
            <w:tcBorders>
              <w:top w:val="single" w:sz="4" w:color="E4E4E7"/>
              <w:left w:val="single" w:sz="4" w:color="E4E4E7"/>
              <w:bottom w:val="single" w:sz="4" w:color="E4E4E7"/>
              <w:right w:val="single" w:sz="4" w:color="E4E4E7"/>
            </w:tcBorders>
          </w:tcPr>
          <w:p>
            <w:r>
              <w:rPr>
                <w:rFonts w:ascii="Aptos" w:hAnsi="Aptos"/>
                <w:b w:val="0"/>
                <w:color w:val="18181B"/>
                <w:sz w:val="18"/>
              </w:rPr>
              <w:t>Before/after measurement</w:t>
            </w:r>
          </w:p>
        </w:tc>
      </w:tr>
    </w:tbl>
    <w:p>
      <w:pPr>
        <w:keepNext/>
        <w:spacing w:before="80" w:after="60" w:line="240" w:lineRule="auto"/>
      </w:pPr>
      <w:r>
        <w:rPr>
          <w:rFonts w:ascii="Aptos" w:hAnsi="Aptos"/>
          <w:b/>
          <w:color w:val="18181B"/>
          <w:sz w:val="25"/>
        </w:rPr>
        <w:t>MARA SME AI Transformation Dashboard concept</w:t>
      </w:r>
    </w:p>
    <w:p>
      <w:pPr>
        <w:spacing w:before="0" w:after="120" w:line="259" w:lineRule="auto"/>
      </w:pPr>
      <w:r>
        <w:rPr>
          <w:rFonts w:ascii="Aptos" w:hAnsi="Aptos"/>
          <w:b w:val="0"/>
          <w:i w:val="0"/>
          <w:color w:val="18181B"/>
          <w:sz w:val="20"/>
        </w:rPr>
        <w:t>For programme-level visibility, an aggregated dashboard can track SME onboarding, agent activation, digital asset deployment, system type, training completion, automation implementation and adoption status. Sensitive commercial data does not need to be exposed unless governance and participant consent explicitly allow it.</w:t>
      </w:r>
    </w:p>
    <w:tbl>
      <w:tblPr>
        <w:tblW w:type="auto" w:w="0"/>
        <w:jc w:val="center"/>
        <w:tblLayout w:type="fixed"/>
        <w:tblLook w:firstColumn="1" w:firstRow="1" w:lastColumn="0" w:lastRow="0" w:noHBand="0" w:noVBand="1" w:val="04A0"/>
      </w:tblPr>
      <w:tblGrid>
        <w:gridCol w:w="9835"/>
      </w:tblGrid>
      <w:tr>
        <w:trPr>
          <w:cantSplit/>
        </w:trPr>
        <w:tc>
          <w:tcPr>
            <w:tcW w:type="dxa" w:w="9835"/>
            <w:shd w:fill="FFF1F2"/>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Reporting shift</w:t>
            </w:r>
          </w:p>
          <w:p>
            <w:pPr>
              <w:spacing w:before="0" w:after="0" w:line="259" w:lineRule="auto"/>
            </w:pPr>
            <w:r>
              <w:rPr>
                <w:rFonts w:ascii="Aptos" w:hAnsi="Aptos"/>
                <w:color w:val="18181B"/>
                <w:sz w:val="20"/>
              </w:rPr>
              <w:t>From: “30 entrepreneurs attended AI training.”</w:t>
              <w:br/>
              <w:t>To: “30 entrepreneurs activated AI agents, built working business systems and entered a measurable adoption cycle.”</w:t>
            </w:r>
          </w:p>
        </w:tc>
      </w:tr>
    </w:tbl>
    <w:p>
      <w:pPr>
        <w:spacing w:after="0"/>
      </w:pPr>
    </w:p>
    <w:p>
      <w:r>
        <w:br w:type="page"/>
      </w:r>
    </w:p>
    <w:p>
      <w:pPr>
        <w:keepNext/>
        <w:spacing w:before="80" w:after="60" w:line="240" w:lineRule="auto"/>
        <w:pBdr>
          <w:bottom w:val="single" w:sz="16" w:space="6" w:color="C9152C"/>
        </w:pBdr>
      </w:pPr>
      <w:r>
        <w:rPr>
          <w:rFonts w:ascii="Aptos" w:hAnsi="Aptos"/>
          <w:b/>
          <w:color w:val="C9152C"/>
          <w:sz w:val="34"/>
        </w:rPr>
        <w:t>7. 12-MONTH INFRASTRUCTURE AND SUSTAINMENT</w:t>
      </w:r>
    </w:p>
    <w:p>
      <w:pPr>
        <w:spacing w:before="0" w:after="160" w:line="259" w:lineRule="auto"/>
      </w:pPr>
      <w:r>
        <w:rPr>
          <w:rFonts w:ascii="Aptos" w:hAnsi="Aptos"/>
          <w:b w:val="0"/>
          <w:i w:val="0"/>
          <w:color w:val="18181B"/>
          <w:sz w:val="21"/>
        </w:rPr>
        <w:t>The value of the programme depends on what happens after the classroom component. The proposed pilot therefore includes an infrastructure runway so SMEs can continue operating, testing and improving the solution.</w:t>
      </w: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AINNA Agent AI Environment</w:t>
            </w:r>
          </w:p>
          <w:p>
            <w:pPr>
              <w:spacing w:before="0" w:after="0" w:line="259" w:lineRule="auto"/>
            </w:pPr>
            <w:r>
              <w:rPr>
                <w:rFonts w:ascii="Aptos" w:hAnsi="Aptos"/>
                <w:color w:val="18181B"/>
                <w:sz w:val="20"/>
              </w:rPr>
              <w:t>Continued access under the pilot configuration for ongoing build, troubleshooting and improvement.</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Cloud / VPS Deployment</w:t>
            </w:r>
          </w:p>
          <w:p>
            <w:pPr>
              <w:spacing w:before="0" w:after="0" w:line="259" w:lineRule="auto"/>
            </w:pPr>
            <w:r>
              <w:rPr>
                <w:rFonts w:ascii="Aptos" w:hAnsi="Aptos"/>
                <w:color w:val="18181B"/>
                <w:sz w:val="20"/>
              </w:rPr>
              <w:t>Environment for hosting the working SME solution, subject to agreed resource limits and acceptable-use conditions.</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Development Workspace</w:t>
            </w:r>
          </w:p>
          <w:p>
            <w:pPr>
              <w:spacing w:before="0" w:after="0" w:line="259" w:lineRule="auto"/>
            </w:pPr>
            <w:r>
              <w:rPr>
                <w:rFonts w:ascii="Aptos" w:hAnsi="Aptos"/>
                <w:color w:val="18181B"/>
                <w:sz w:val="20"/>
              </w:rPr>
              <w:t>Workspace for continued system changes, testing and controlled deployment.</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NeuralOps Approach</w:t>
            </w:r>
          </w:p>
          <w:p>
            <w:pPr>
              <w:spacing w:before="0" w:after="0" w:line="259" w:lineRule="auto"/>
            </w:pPr>
            <w:r>
              <w:rPr>
                <w:rFonts w:ascii="Aptos" w:hAnsi="Aptos"/>
                <w:color w:val="18181B"/>
                <w:sz w:val="20"/>
              </w:rPr>
              <w:t>Routing of tasks between rules, software automation and AI based on suitability rather than sending every task to an LLM.</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Adoption Checkpoints</w:t>
            </w:r>
          </w:p>
          <w:p>
            <w:pPr>
              <w:spacing w:before="0" w:after="0" w:line="259" w:lineRule="auto"/>
            </w:pPr>
            <w:r>
              <w:rPr>
                <w:rFonts w:ascii="Aptos" w:hAnsi="Aptos"/>
                <w:color w:val="18181B"/>
                <w:sz w:val="20"/>
              </w:rPr>
              <w:t>30/60/90-day review to determine active usage, barriers, outcome and readiness for a wider rollout.</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Support Scope</w:t>
            </w:r>
          </w:p>
          <w:p>
            <w:pPr>
              <w:spacing w:before="0" w:after="0" w:line="259" w:lineRule="auto"/>
            </w:pPr>
            <w:r>
              <w:rPr>
                <w:rFonts w:ascii="Aptos" w:hAnsi="Aptos"/>
                <w:color w:val="18181B"/>
                <w:sz w:val="20"/>
              </w:rPr>
              <w:t>Support model, service levels and escalation boundaries to be defined in the final commercial and technical scope.</w:t>
            </w:r>
          </w:p>
        </w:tc>
      </w:tr>
    </w:tbl>
    <w:p>
      <w:pPr>
        <w:spacing w:after="0"/>
      </w:pPr>
    </w:p>
    <w:p>
      <w:pPr>
        <w:keepNext/>
        <w:spacing w:before="80" w:after="60" w:line="240" w:lineRule="auto"/>
      </w:pPr>
      <w:r>
        <w:rPr>
          <w:rFonts w:ascii="Aptos" w:hAnsi="Aptos"/>
          <w:b/>
          <w:color w:val="18181B"/>
          <w:sz w:val="25"/>
        </w:rPr>
        <w:t>Commercial structure - proposed</w:t>
      </w:r>
    </w:p>
    <w:p>
      <w:pPr>
        <w:spacing w:before="0" w:after="100" w:line="259" w:lineRule="auto"/>
      </w:pPr>
      <w:r>
        <w:rPr>
          <w:rFonts w:ascii="Aptos" w:hAnsi="Aptos"/>
          <w:b w:val="0"/>
          <w:i w:val="0"/>
          <w:color w:val="18181B"/>
          <w:sz w:val="20"/>
        </w:rPr>
        <w:t>The programme can be priced modularly so MARA can separate training, infrastructure and special deployment requirements. As a reference from the current AINNA programme model, infrastructure has been estimated at approximately RM500 per participant per year, subject to final configuration, usage and commercial confirmation. Training fees, logistics, third-party subscriptions and any custom enterprise integration are quoted separately.</w:t>
      </w:r>
    </w:p>
    <w:p>
      <w:pPr>
        <w:spacing w:before="0" w:after="0" w:line="259" w:lineRule="auto"/>
      </w:pPr>
      <w:r>
        <w:rPr>
          <w:rFonts w:ascii="Aptos" w:hAnsi="Aptos"/>
          <w:b w:val="0"/>
          <w:i/>
          <w:color w:val="6B7280"/>
          <w:sz w:val="18"/>
        </w:rPr>
        <w:t>Final pilot quotation should only be issued after location, participant profile, training venue, required infrastructure, trainer count and system scope are confirmed.</w:t>
      </w:r>
    </w:p>
    <w:p>
      <w:r>
        <w:br w:type="page"/>
      </w:r>
    </w:p>
    <w:p>
      <w:pPr>
        <w:keepNext/>
        <w:spacing w:before="80" w:after="60" w:line="240" w:lineRule="auto"/>
        <w:pBdr>
          <w:bottom w:val="single" w:sz="16" w:space="6" w:color="C9152C"/>
        </w:pBdr>
      </w:pPr>
      <w:r>
        <w:rPr>
          <w:rFonts w:ascii="Aptos" w:hAnsi="Aptos"/>
          <w:b/>
          <w:color w:val="C9152C"/>
          <w:sz w:val="34"/>
        </w:rPr>
        <w:t>8. VALUE TO MARA AND PUSMA</w:t>
      </w:r>
    </w:p>
    <w:tbl>
      <w:tblPr>
        <w:tblW w:type="auto" w:w="0"/>
        <w:jc w:val="center"/>
        <w:tblLook w:firstColumn="1" w:firstRow="1" w:lastColumn="0" w:lastRow="0" w:noHBand="0" w:noVBand="1" w:val="04A0"/>
      </w:tblPr>
      <w:tblGrid>
        <w:gridCol w:w="4917"/>
        <w:gridCol w:w="4917"/>
      </w:tblGrid>
      <w:tr>
        <w:trPr>
          <w:cantSplit/>
        </w:trPr>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FF1F2"/>
          </w:tcPr>
          <w:p>
            <w:pPr>
              <w:spacing w:before="0" w:after="80" w:line="240" w:lineRule="auto"/>
            </w:pPr>
            <w:r>
              <w:rPr>
                <w:rFonts w:ascii="Aptos" w:hAnsi="Aptos"/>
                <w:b/>
                <w:color w:val="C9152C"/>
                <w:sz w:val="21"/>
              </w:rPr>
              <w:t>Measurable Transformation</w:t>
            </w:r>
          </w:p>
          <w:p>
            <w:pPr>
              <w:spacing w:before="0" w:after="0" w:line="252" w:lineRule="auto"/>
            </w:pPr>
            <w:r>
              <w:rPr>
                <w:rFonts w:ascii="Aptos" w:hAnsi="Aptos"/>
                <w:color w:val="18181B"/>
                <w:sz w:val="19"/>
              </w:rPr>
              <w:t>Programme reporting can move beyond attendance into actual system activation, deployment and adoption.</w:t>
            </w:r>
          </w:p>
        </w:tc>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AFAFA"/>
          </w:tcPr>
          <w:p>
            <w:pPr>
              <w:spacing w:before="0" w:after="80" w:line="240" w:lineRule="auto"/>
            </w:pPr>
            <w:r>
              <w:rPr>
                <w:rFonts w:ascii="Aptos" w:hAnsi="Aptos"/>
                <w:b/>
                <w:color w:val="C9152C"/>
                <w:sz w:val="21"/>
              </w:rPr>
              <w:t>Practical AI Adoption</w:t>
            </w:r>
          </w:p>
          <w:p>
            <w:pPr>
              <w:spacing w:before="0" w:after="0" w:line="252" w:lineRule="auto"/>
            </w:pPr>
            <w:r>
              <w:rPr>
                <w:rFonts w:ascii="Aptos" w:hAnsi="Aptos"/>
                <w:color w:val="18181B"/>
                <w:sz w:val="19"/>
              </w:rPr>
              <w:t>Entrepreneurs learn AI through their real business problems instead of generic prompts and demonstrations.</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FF1F2"/>
          </w:tcPr>
          <w:p>
            <w:pPr>
              <w:spacing w:before="0" w:after="80" w:line="240" w:lineRule="auto"/>
            </w:pPr>
            <w:r>
              <w:rPr>
                <w:rFonts w:ascii="Aptos" w:hAnsi="Aptos"/>
                <w:b/>
                <w:color w:val="C9152C"/>
                <w:sz w:val="21"/>
              </w:rPr>
              <w:t>Scalable State Model</w:t>
            </w:r>
          </w:p>
          <w:p>
            <w:pPr>
              <w:spacing w:before="0" w:after="0" w:line="252" w:lineRule="auto"/>
            </w:pPr>
            <w:r>
              <w:rPr>
                <w:rFonts w:ascii="Aptos" w:hAnsi="Aptos"/>
                <w:color w:val="18181B"/>
                <w:sz w:val="19"/>
              </w:rPr>
              <w:t>A successful 30-SME pilot can be repeated through PUSMA / MARA Negeri cohorts using a common delivery framework.</w:t>
            </w:r>
          </w:p>
        </w:tc>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AFAFA"/>
          </w:tcPr>
          <w:p>
            <w:pPr>
              <w:spacing w:before="0" w:after="80" w:line="240" w:lineRule="auto"/>
            </w:pPr>
            <w:r>
              <w:rPr>
                <w:rFonts w:ascii="Aptos" w:hAnsi="Aptos"/>
                <w:b/>
                <w:color w:val="C9152C"/>
                <w:sz w:val="21"/>
              </w:rPr>
              <w:t>SME Capability Building</w:t>
            </w:r>
          </w:p>
          <w:p>
            <w:pPr>
              <w:spacing w:before="0" w:after="0" w:line="252" w:lineRule="auto"/>
            </w:pPr>
            <w:r>
              <w:rPr>
                <w:rFonts w:ascii="Aptos" w:hAnsi="Aptos"/>
                <w:color w:val="18181B"/>
                <w:sz w:val="19"/>
              </w:rPr>
              <w:t>Participants become more capable of managing their own digital assets, workflows and data-driven operations.</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FF1F2"/>
          </w:tcPr>
          <w:p>
            <w:pPr>
              <w:spacing w:before="0" w:after="80" w:line="240" w:lineRule="auto"/>
            </w:pPr>
            <w:r>
              <w:rPr>
                <w:rFonts w:ascii="Aptos" w:hAnsi="Aptos"/>
                <w:b/>
                <w:color w:val="C9152C"/>
                <w:sz w:val="21"/>
              </w:rPr>
              <w:t>Programme Intelligence</w:t>
            </w:r>
          </w:p>
          <w:p>
            <w:pPr>
              <w:spacing w:before="0" w:after="0" w:line="252" w:lineRule="auto"/>
            </w:pPr>
            <w:r>
              <w:rPr>
                <w:rFonts w:ascii="Aptos" w:hAnsi="Aptos"/>
                <w:color w:val="18181B"/>
                <w:sz w:val="19"/>
              </w:rPr>
              <w:t>Aggregated pilot data can show which SME use cases create the strongest adoption and measurable business impact.</w:t>
            </w:r>
          </w:p>
        </w:tc>
        <w:tc>
          <w:tcPr>
            <w:tcW w:type="dxa" w:w="4917"/>
            <w:tcMar>
              <w:top w:w="150" w:type="dxa"/>
              <w:start w:w="160" w:type="dxa"/>
              <w:bottom w:w="150" w:type="dxa"/>
              <w:end w:w="160" w:type="dxa"/>
            </w:tcMar>
            <w:tcBorders>
              <w:top w:val="single" w:sz="5" w:color="E4E4E7"/>
              <w:left w:val="single" w:sz="5" w:color="E4E4E7"/>
              <w:bottom w:val="single" w:sz="5" w:color="E4E4E7"/>
              <w:right w:val="single" w:sz="5" w:color="E4E4E7"/>
            </w:tcBorders>
            <w:shd w:fill="FAFAFA"/>
          </w:tcPr>
          <w:p>
            <w:pPr>
              <w:spacing w:before="0" w:after="80" w:line="240" w:lineRule="auto"/>
            </w:pPr>
            <w:r>
              <w:rPr>
                <w:rFonts w:ascii="Aptos" w:hAnsi="Aptos"/>
                <w:b/>
                <w:color w:val="C9152C"/>
                <w:sz w:val="21"/>
              </w:rPr>
              <w:t>Foundation for National Rollout</w:t>
            </w:r>
          </w:p>
          <w:p>
            <w:pPr>
              <w:spacing w:before="0" w:after="0" w:line="252" w:lineRule="auto"/>
            </w:pPr>
            <w:r>
              <w:rPr>
                <w:rFonts w:ascii="Aptos" w:hAnsi="Aptos"/>
                <w:color w:val="18181B"/>
                <w:sz w:val="19"/>
              </w:rPr>
              <w:t>Validated modules, templates and workflows can become reusable building blocks for future SME cohorts.</w:t>
            </w:r>
          </w:p>
        </w:tc>
      </w:tr>
    </w:tbl>
    <w:p>
      <w:pPr>
        <w:spacing w:after="40"/>
      </w:pPr>
    </w:p>
    <w:p>
      <w:pPr>
        <w:keepNext/>
        <w:spacing w:before="80" w:after="60" w:line="240" w:lineRule="auto"/>
      </w:pPr>
      <w:r>
        <w:rPr>
          <w:rFonts w:ascii="Aptos" w:hAnsi="Aptos"/>
          <w:b/>
          <w:color w:val="18181B"/>
          <w:sz w:val="25"/>
        </w:rPr>
        <w:t>Proposed rollout path</w:t>
      </w:r>
    </w:p>
    <w:tbl>
      <w:tblPr>
        <w:tblW w:type="auto" w:w="0"/>
        <w:jc w:val="center"/>
        <w:tblLayout w:type="fixed"/>
        <w:tblLook w:firstColumn="1" w:firstRow="1" w:lastColumn="0" w:lastRow="0" w:noHBand="0" w:noVBand="1" w:val="04A0"/>
      </w:tblPr>
      <w:tblGrid>
        <w:gridCol w:w="9835"/>
      </w:tblGrid>
      <w:tr>
        <w:trPr>
          <w:cantSplit/>
        </w:trPr>
        <w:tc>
          <w:tcPr>
            <w:tcW w:type="dxa" w:w="9835"/>
            <w:shd w:fill="FFF1F2"/>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PHASE 1 - PILOT</w:t>
            </w:r>
          </w:p>
          <w:p>
            <w:pPr>
              <w:spacing w:before="0" w:after="0" w:line="259" w:lineRule="auto"/>
            </w:pPr>
            <w:r>
              <w:rPr>
                <w:rFonts w:ascii="Aptos" w:hAnsi="Aptos"/>
                <w:color w:val="18181B"/>
                <w:sz w:val="20"/>
              </w:rPr>
              <w:t>30 SMEs / one agreed MARA-PUSMA cohort / establish baseline and validate delivery.</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2B2D31"/>
            </w:tcBorders>
          </w:tcPr>
          <w:p>
            <w:pPr>
              <w:spacing w:before="0" w:after="60" w:line="240" w:lineRule="auto"/>
            </w:pPr>
            <w:r>
              <w:rPr>
                <w:rFonts w:ascii="Aptos" w:hAnsi="Aptos"/>
                <w:b/>
                <w:color w:val="2B2D31"/>
                <w:sz w:val="23"/>
              </w:rPr>
              <w:t>PHASE 2 - VALIDATE</w:t>
            </w:r>
          </w:p>
          <w:p>
            <w:pPr>
              <w:spacing w:before="0" w:after="0" w:line="259" w:lineRule="auto"/>
            </w:pPr>
            <w:r>
              <w:rPr>
                <w:rFonts w:ascii="Aptos" w:hAnsi="Aptos"/>
                <w:color w:val="18181B"/>
                <w:sz w:val="20"/>
              </w:rPr>
              <w:t>Review system output, adoption, business impact, operational issues and cost per active SME.</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FAFAFA"/>
            <w:tcMar>
              <w:top w:w="135" w:type="dxa"/>
              <w:start w:w="170" w:type="dxa"/>
              <w:bottom w:w="135" w:type="dxa"/>
              <w:end w:w="170" w:type="dxa"/>
            </w:tcMar>
            <w:tcBorders>
              <w:left w:val="single" w:sz="12" w:color="2B2D31"/>
            </w:tcBorders>
          </w:tcPr>
          <w:p>
            <w:pPr>
              <w:spacing w:before="0" w:after="60" w:line="240" w:lineRule="auto"/>
            </w:pPr>
            <w:r>
              <w:rPr>
                <w:rFonts w:ascii="Aptos" w:hAnsi="Aptos"/>
                <w:b/>
                <w:color w:val="2B2D31"/>
                <w:sz w:val="23"/>
              </w:rPr>
              <w:t>PHASE 3 - STATE ROLLOUT</w:t>
            </w:r>
          </w:p>
          <w:p>
            <w:pPr>
              <w:spacing w:before="0" w:after="0" w:line="259" w:lineRule="auto"/>
            </w:pPr>
            <w:r>
              <w:rPr>
                <w:rFonts w:ascii="Aptos" w:hAnsi="Aptos"/>
                <w:color w:val="18181B"/>
                <w:sz w:val="20"/>
              </w:rPr>
              <w:t>Replicate the validated programme through selected state/PUSMA cohorts.</w:t>
            </w:r>
          </w:p>
        </w:tc>
      </w:tr>
    </w:tbl>
    <w:p>
      <w:pPr>
        <w:spacing w:after="0"/>
      </w:pPr>
    </w:p>
    <w:tbl>
      <w:tblPr>
        <w:tblW w:type="auto" w:w="0"/>
        <w:jc w:val="center"/>
        <w:tblLayout w:type="fixed"/>
        <w:tblLook w:firstColumn="1" w:firstRow="1" w:lastColumn="0" w:lastRow="0" w:noHBand="0" w:noVBand="1" w:val="04A0"/>
      </w:tblPr>
      <w:tblGrid>
        <w:gridCol w:w="9835"/>
      </w:tblGrid>
      <w:tr>
        <w:trPr>
          <w:cantSplit/>
        </w:trPr>
        <w:tc>
          <w:tcPr>
            <w:tcW w:type="dxa" w:w="9835"/>
            <w:shd w:fill="18181B"/>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C9152C"/>
                <w:sz w:val="23"/>
              </w:rPr>
              <w:t>PHASE 4 - NATIONAL SCALE</w:t>
            </w:r>
          </w:p>
          <w:p>
            <w:pPr>
              <w:spacing w:before="0" w:after="0" w:line="259" w:lineRule="auto"/>
            </w:pPr>
            <w:r>
              <w:rPr>
                <w:rFonts w:ascii="Aptos" w:hAnsi="Aptos"/>
                <w:color w:val="FFFFFF"/>
                <w:sz w:val="20"/>
              </w:rPr>
              <w:t>Scale only after KPI, governance, support and infrastructure economics are proven.</w:t>
            </w:r>
          </w:p>
        </w:tc>
      </w:tr>
    </w:tbl>
    <w:p>
      <w:pPr>
        <w:spacing w:after="0"/>
      </w:pPr>
    </w:p>
    <w:p>
      <w:r>
        <w:br w:type="page"/>
      </w:r>
    </w:p>
    <w:p>
      <w:pPr>
        <w:keepNext/>
        <w:spacing w:before="80" w:after="60" w:line="240" w:lineRule="auto"/>
        <w:pBdr>
          <w:bottom w:val="single" w:sz="16" w:space="6" w:color="C9152C"/>
        </w:pBdr>
      </w:pPr>
      <w:r>
        <w:rPr>
          <w:rFonts w:ascii="Aptos" w:hAnsi="Aptos"/>
          <w:b/>
          <w:color w:val="C9152C"/>
          <w:sz w:val="34"/>
        </w:rPr>
        <w:t>9. PROPOSED NEXT STEPS</w:t>
      </w:r>
    </w:p>
    <w:tbl>
      <w:tblPr>
        <w:tblW w:type="auto" w:w="0"/>
        <w:jc w:val="center"/>
        <w:tblLook w:firstColumn="1" w:firstRow="1" w:lastColumn="0" w:lastRow="0" w:noHBand="0" w:noVBand="1" w:val="04A0"/>
      </w:tblPr>
      <w:tblGrid>
        <w:gridCol w:w="4917"/>
        <w:gridCol w:w="4917"/>
      </w:tblGrid>
      <w:tr>
        <w:trPr>
          <w:cantSplit/>
        </w:trPr>
        <w:tc>
          <w:tcPr>
            <w:tcW w:type="dxa" w:w="1080"/>
            <w:shd w:fill="C9152C"/>
            <w:tcMar>
              <w:top w:w="150" w:type="dxa"/>
              <w:start w:w="100" w:type="dxa"/>
              <w:bottom w:w="150" w:type="dxa"/>
              <w:end w:w="10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36"/>
              </w:rPr>
              <w:t>1</w:t>
            </w:r>
          </w:p>
        </w:tc>
        <w:tc>
          <w:tcPr>
            <w:tcW w:type="dxa" w:w="8928"/>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Executive Demonstration</w:t>
            </w:r>
          </w:p>
          <w:p>
            <w:pPr>
              <w:spacing w:before="0" w:after="0" w:line="252" w:lineRule="auto"/>
            </w:pPr>
            <w:r>
              <w:rPr>
                <w:rFonts w:ascii="Aptos" w:hAnsi="Aptos"/>
                <w:color w:val="18181B"/>
                <w:sz w:val="19"/>
              </w:rPr>
              <w:t>AINNA demonstrates the Agent AI, business-system build workflow and SME management use cases using a controlled demo environment.</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1080"/>
            <w:shd w:fill="C9152C"/>
            <w:tcMar>
              <w:top w:w="150" w:type="dxa"/>
              <w:start w:w="100" w:type="dxa"/>
              <w:bottom w:w="150" w:type="dxa"/>
              <w:end w:w="10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36"/>
              </w:rPr>
              <w:t>2</w:t>
            </w:r>
          </w:p>
        </w:tc>
        <w:tc>
          <w:tcPr>
            <w:tcW w:type="dxa" w:w="8928"/>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Pilot Design Workshop</w:t>
            </w:r>
          </w:p>
          <w:p>
            <w:pPr>
              <w:spacing w:before="0" w:after="0" w:line="252" w:lineRule="auto"/>
            </w:pPr>
            <w:r>
              <w:rPr>
                <w:rFonts w:ascii="Aptos" w:hAnsi="Aptos"/>
                <w:color w:val="18181B"/>
                <w:sz w:val="19"/>
              </w:rPr>
              <w:t>MARA/PUSMA and AINNA agree participant profile, location, business sectors, scope, KPI, data boundaries and training dates.</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1080"/>
            <w:shd w:fill="C9152C"/>
            <w:tcMar>
              <w:top w:w="150" w:type="dxa"/>
              <w:start w:w="100" w:type="dxa"/>
              <w:bottom w:w="150" w:type="dxa"/>
              <w:end w:w="10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36"/>
              </w:rPr>
              <w:t>3</w:t>
            </w:r>
          </w:p>
        </w:tc>
        <w:tc>
          <w:tcPr>
            <w:tcW w:type="dxa" w:w="8928"/>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Baseline &amp; Selection</w:t>
            </w:r>
          </w:p>
          <w:p>
            <w:pPr>
              <w:spacing w:before="0" w:after="0" w:line="252" w:lineRule="auto"/>
            </w:pPr>
            <w:r>
              <w:rPr>
                <w:rFonts w:ascii="Aptos" w:hAnsi="Aptos"/>
                <w:color w:val="18181B"/>
                <w:sz w:val="19"/>
              </w:rPr>
              <w:t>30 SMEs complete readiness and baseline assessment before training starts.</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1080"/>
            <w:shd w:fill="C9152C"/>
            <w:tcMar>
              <w:top w:w="150" w:type="dxa"/>
              <w:start w:w="100" w:type="dxa"/>
              <w:bottom w:w="150" w:type="dxa"/>
              <w:end w:w="10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36"/>
              </w:rPr>
              <w:t>4</w:t>
            </w:r>
          </w:p>
        </w:tc>
        <w:tc>
          <w:tcPr>
            <w:tcW w:type="dxa" w:w="8928"/>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11-Day Build Programme</w:t>
            </w:r>
          </w:p>
          <w:p>
            <w:pPr>
              <w:spacing w:before="0" w:after="0" w:line="252" w:lineRule="auto"/>
            </w:pPr>
            <w:r>
              <w:rPr>
                <w:rFonts w:ascii="Aptos" w:hAnsi="Aptos"/>
                <w:color w:val="18181B"/>
                <w:sz w:val="19"/>
              </w:rPr>
              <w:t>Participants build, deploy, integrate and demonstrate their working SME systems.</w:t>
            </w:r>
          </w:p>
        </w:tc>
      </w:tr>
    </w:tbl>
    <w:p>
      <w:pPr>
        <w:spacing w:after="40"/>
      </w:pPr>
    </w:p>
    <w:tbl>
      <w:tblPr>
        <w:tblW w:type="auto" w:w="0"/>
        <w:jc w:val="center"/>
        <w:tblLook w:firstColumn="1" w:firstRow="1" w:lastColumn="0" w:lastRow="0" w:noHBand="0" w:noVBand="1" w:val="04A0"/>
      </w:tblPr>
      <w:tblGrid>
        <w:gridCol w:w="4917"/>
        <w:gridCol w:w="4917"/>
      </w:tblGrid>
      <w:tr>
        <w:trPr>
          <w:cantSplit/>
        </w:trPr>
        <w:tc>
          <w:tcPr>
            <w:tcW w:type="dxa" w:w="1080"/>
            <w:shd w:fill="C9152C"/>
            <w:tcMar>
              <w:top w:w="150" w:type="dxa"/>
              <w:start w:w="100" w:type="dxa"/>
              <w:bottom w:w="150" w:type="dxa"/>
              <w:end w:w="100" w:type="dxa"/>
            </w:tcMar>
            <w:tcBorders>
              <w:top w:val="single" w:sz="4" w:color="C9152C"/>
              <w:left w:val="single" w:sz="4" w:color="C9152C"/>
              <w:bottom w:val="single" w:sz="4" w:color="C9152C"/>
              <w:right w:val="single" w:sz="4" w:color="C9152C"/>
            </w:tcBorders>
          </w:tcPr>
          <w:p>
            <w:pPr>
              <w:jc w:val="center"/>
            </w:pPr>
            <w:r>
              <w:rPr>
                <w:rFonts w:ascii="Aptos" w:hAnsi="Aptos"/>
                <w:b/>
                <w:color w:val="FFFFFF"/>
                <w:sz w:val="36"/>
              </w:rPr>
              <w:t>5</w:t>
            </w:r>
          </w:p>
        </w:tc>
        <w:tc>
          <w:tcPr>
            <w:tcW w:type="dxa" w:w="8928"/>
            <w:shd w:fill="FAFAFA"/>
            <w:tcMar>
              <w:top w:w="140" w:type="dxa"/>
              <w:start w:w="160" w:type="dxa"/>
              <w:bottom w:w="140" w:type="dxa"/>
              <w:end w:w="160" w:type="dxa"/>
            </w:tcMar>
            <w:tcBorders>
              <w:top w:val="single" w:sz="4" w:color="E4E4E7"/>
              <w:left w:val="single" w:sz="4" w:color="E4E4E7"/>
              <w:bottom w:val="single" w:sz="4" w:color="E4E4E7"/>
              <w:right w:val="single" w:sz="4" w:color="E4E4E7"/>
            </w:tcBorders>
          </w:tcPr>
          <w:p>
            <w:pPr>
              <w:spacing w:before="0" w:after="60" w:line="240" w:lineRule="auto"/>
            </w:pPr>
            <w:r>
              <w:rPr>
                <w:rFonts w:ascii="Aptos" w:hAnsi="Aptos"/>
                <w:b/>
                <w:color w:val="18181B"/>
                <w:sz w:val="22"/>
              </w:rPr>
              <w:t>30/60/90-Day Adoption Review</w:t>
            </w:r>
          </w:p>
          <w:p>
            <w:pPr>
              <w:spacing w:before="0" w:after="0" w:line="252" w:lineRule="auto"/>
            </w:pPr>
            <w:r>
              <w:rPr>
                <w:rFonts w:ascii="Aptos" w:hAnsi="Aptos"/>
                <w:color w:val="18181B"/>
                <w:sz w:val="19"/>
              </w:rPr>
              <w:t>Measure continued usage and business impact before recommending state or national expansion.</w:t>
            </w:r>
          </w:p>
        </w:tc>
      </w:tr>
    </w:tbl>
    <w:p>
      <w:pPr>
        <w:spacing w:after="40"/>
      </w:pPr>
    </w:p>
    <w:p>
      <w:pPr>
        <w:keepNext/>
        <w:spacing w:before="80" w:after="60" w:line="240" w:lineRule="auto"/>
      </w:pPr>
      <w:r>
        <w:rPr>
          <w:rFonts w:ascii="Aptos" w:hAnsi="Aptos"/>
          <w:b/>
          <w:color w:val="18181B"/>
          <w:sz w:val="25"/>
        </w:rPr>
        <w:t>Closing proposition</w:t>
      </w:r>
    </w:p>
    <w:tbl>
      <w:tblPr>
        <w:tblW w:type="auto" w:w="0"/>
        <w:jc w:val="center"/>
        <w:tblLayout w:type="fixed"/>
        <w:tblLook w:firstColumn="1" w:firstRow="1" w:lastColumn="0" w:lastRow="0" w:noHBand="0" w:noVBand="1" w:val="04A0"/>
      </w:tblPr>
      <w:tblGrid>
        <w:gridCol w:w="9835"/>
      </w:tblGrid>
      <w:tr>
        <w:trPr>
          <w:cantSplit/>
        </w:trPr>
        <w:tc>
          <w:tcPr>
            <w:tcW w:type="dxa" w:w="9835"/>
            <w:shd w:fill="C9152C"/>
            <w:tcMar>
              <w:top w:w="135" w:type="dxa"/>
              <w:start w:w="170" w:type="dxa"/>
              <w:bottom w:w="135" w:type="dxa"/>
              <w:end w:w="170" w:type="dxa"/>
            </w:tcMar>
            <w:tcBorders>
              <w:left w:val="single" w:sz="12" w:color="C9152C"/>
            </w:tcBorders>
          </w:tcPr>
          <w:p>
            <w:pPr>
              <w:spacing w:before="0" w:after="60" w:line="240" w:lineRule="auto"/>
            </w:pPr>
            <w:r>
              <w:rPr>
                <w:rFonts w:ascii="Aptos" w:hAnsi="Aptos"/>
                <w:b/>
                <w:color w:val="FFFFFF"/>
                <w:sz w:val="23"/>
              </w:rPr>
              <w:t>AI AGENT FOR EVERY SME</w:t>
            </w:r>
          </w:p>
          <w:p>
            <w:pPr>
              <w:spacing w:before="0" w:after="0" w:line="259" w:lineRule="auto"/>
            </w:pPr>
            <w:r>
              <w:rPr>
                <w:rFonts w:ascii="Aptos" w:hAnsi="Aptos"/>
                <w:color w:val="FFFFFF"/>
                <w:sz w:val="20"/>
              </w:rPr>
              <w:t>The objective is not to make every entrepreneur an AI engineer. The objective is to give each SME a practical digital execution capability: build faster, automate selected work, see the business more clearly and continuously improve with a small team.</w:t>
            </w:r>
          </w:p>
        </w:tc>
      </w:tr>
    </w:tbl>
    <w:p>
      <w:pPr>
        <w:spacing w:after="0"/>
      </w:pPr>
    </w:p>
    <w:p>
      <w:pPr>
        <w:spacing w:before="320" w:after="100" w:line="259" w:lineRule="auto"/>
        <w:jc w:val="center"/>
      </w:pPr>
      <w:r>
        <w:rPr>
          <w:rFonts w:ascii="Aptos" w:hAnsi="Aptos"/>
          <w:b/>
          <w:i w:val="0"/>
          <w:color w:val="18181B"/>
          <w:sz w:val="30"/>
        </w:rPr>
        <w:t>30 SMEs. 30 AI Agents. 30 Working Business Systems. One Measurable Pilot.</w:t>
      </w:r>
    </w:p>
    <w:p>
      <w:pPr>
        <w:spacing w:before="0" w:after="280" w:line="259" w:lineRule="auto"/>
        <w:jc w:val="center"/>
      </w:pPr>
      <w:r>
        <w:rPr>
          <w:rFonts w:ascii="Aptos" w:hAnsi="Aptos"/>
          <w:b/>
          <w:i w:val="0"/>
          <w:color w:val="C9152C"/>
          <w:sz w:val="22"/>
        </w:rPr>
        <w:t>Build the business. Automate the work. Grow with AI.</w:t>
      </w:r>
    </w:p>
    <w:p>
      <w:pPr>
        <w:keepNext/>
        <w:spacing w:before="80" w:after="60" w:line="240" w:lineRule="auto"/>
      </w:pPr>
      <w:r>
        <w:rPr>
          <w:rFonts w:ascii="Aptos" w:hAnsi="Aptos"/>
          <w:b/>
          <w:color w:val="18181B"/>
          <w:sz w:val="25"/>
        </w:rPr>
        <w:t>References</w:t>
      </w:r>
    </w:p>
    <w:p>
      <w:pPr>
        <w:spacing w:before="0" w:after="60" w:line="240" w:lineRule="auto"/>
      </w:pPr>
      <w:r>
        <w:rPr>
          <w:rFonts w:ascii="Aptos" w:hAnsi="Aptos"/>
          <w:color w:val="18181B"/>
          <w:sz w:val="17"/>
        </w:rPr>
        <w:t xml:space="preserve">[1] MARA MyUsahawan - Portal Sektor Keusahawanan MARA: </w:t>
      </w:r>
      <w:hyperlink r:id="rId11">
        <w:r>
          <w:rPr>
            <w:color w:val="C9152C"/>
            <w:u w:val="single"/>
          </w:rPr>
          <w:t>https://myusahawan.mara.gov.my/</w:t>
        </w:r>
      </w:hyperlink>
    </w:p>
    <w:sectPr w:rsidR="00FC693F" w:rsidRPr="0006063C" w:rsidSect="00034616">
      <w:headerReference w:type="default" r:id="rId9"/>
      <w:footerReference w:type="default" r:id="rId10"/>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jc w:val="center"/>
      <w:tblLook w:firstColumn="1" w:firstRow="1" w:lastColumn="0" w:lastRow="0" w:noHBand="0" w:noVBand="1" w:val="04A0"/>
    </w:tblPr>
    <w:tblGrid>
      <w:gridCol w:w="4896"/>
      <w:gridCol w:w="4896"/>
    </w:tblGrid>
    <w:tr>
      <w:tc>
        <w:tcPr>
          <w:tcW w:type="dxa" w:w="4896"/>
          <w:tcMar>
            <w:top w:w="0" w:type="dxa"/>
            <w:start w:w="0" w:type="dxa"/>
            <w:bottom w:w="0" w:type="dxa"/>
            <w:end w:w="0" w:type="dxa"/>
          </w:tcMar>
        </w:tcPr>
        <w:p>
          <w:r>
            <w:rPr>
              <w:rFonts w:ascii="Aptos" w:hAnsi="Aptos"/>
              <w:color w:val="6B7280"/>
              <w:sz w:val="16"/>
            </w:rPr>
            <w:t>AINNA  |  Confidential Proposal for Discussion</w:t>
          </w:r>
        </w:p>
      </w:tc>
      <w:tc>
        <w:tcPr>
          <w:tcW w:type="dxa" w:w="4896"/>
          <w:tcMar>
            <w:top w:w="0" w:type="dxa"/>
            <w:start w:w="0" w:type="dxa"/>
            <w:bottom w:w="0" w:type="dxa"/>
            <w:end w:w="0" w:type="dxa"/>
          </w:tcMar>
        </w:tcPr>
        <w:p>
          <w:pPr>
            <w:jc w:val="right"/>
          </w:pPr>
          <w:r>
            <w:rPr>
              <w:rFonts w:ascii="Aptos" w:hAnsi="Aptos"/>
              <w:color w:val="6B7280"/>
              <w:sz w:val="17"/>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B7280"/>
        <w:sz w:val="15"/>
      </w:rPr>
      <w:t>PROPOSED MARA x AINNA  |  30 SME AI TRANSFORMATION PILOT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yusahawan.mara.gov.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 x AINNA - 30 SME AI Transformation Pilot Programme</dc:title>
  <dc:subject>Proposed AI Agent for Every SME pilot programme</dc:subject>
  <dc:creator>AINNA</dc:creator>
  <cp:keywords>MARA, PUSMA, AINNA, SME, AI Agent, Pilot, NeuralOps</cp:keywords>
  <dc:description>generated by python-docx</dc:description>
  <cp:lastModifiedBy/>
  <cp:revision>1</cp:revision>
  <dcterms:created xsi:type="dcterms:W3CDTF">2013-12-23T23:15:00Z</dcterms:created>
  <dcterms:modified xsi:type="dcterms:W3CDTF">2013-12-23T23:15:00Z</dcterms:modified>
  <cp:category/>
</cp:coreProperties>
</file>