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From Digital Participation to Unequal Value Capture: Capability Heterogeneity and Value Capture in a Government-Supported Social-Commerce Programme</w:t>
      </w:r>
    </w:p>
    <w:p/>
    <w:p>
      <w:pPr>
        <w:jc w:val="center"/>
      </w:pPr>
      <w:r>
        <w:rPr>
          <w:sz w:val="24"/>
        </w:rPr>
        <w:t>Abd Razzif Abd Razak, Siti Faizah Zainal, Siti Nurulaini Azmi, Nur Hafizah Roslan, Nur Syairah Ani</w:t>
      </w:r>
    </w:p>
    <w:p>
      <w:pPr>
        <w:jc w:val="center"/>
      </w:pPr>
      <w:r>
        <w:rPr>
          <w:sz w:val="24"/>
        </w:rPr>
        <w:t>Faculty of Management and Economics, Universiti Pendidikan Sultan Idris, Perak, Malaysia</w:t>
      </w:r>
    </w:p>
    <w:p>
      <w:r>
        <w:br w:type="page"/>
      </w:r>
    </w:p>
    <w:p>
      <w:pPr>
        <w:pStyle w:val="Heading1"/>
      </w:pPr>
      <w:r>
        <w:rPr>
          <w:rFonts w:ascii="Times New Roman" w:hAnsi="Times New Roman"/>
          <w:b/>
          <w:sz w:val="24"/>
        </w:rPr>
        <w:t>Abstract</w:t>
      </w:r>
    </w:p>
    <w:p>
      <w:r>
        <w:rPr>
          <w:b w:val="0"/>
          <w:i w:val="0"/>
        </w:rPr>
        <w:t>Purpose. This study investigates why firms exposed to broadly similar digital-platform access and institutional support capture markedly different levels of commercial value. It moves beyond the question of whether digital training works to examine how commercial value is distributed among firms participating in the same platform-enabled entrepreneurship intervention.</w:t>
      </w:r>
    </w:p>
    <w:p>
      <w:r>
        <w:rPr>
          <w:b w:val="0"/>
          <w:i w:val="0"/>
        </w:rPr>
        <w:t>Design/methodology/approach. A retrospective analysis of verified programme-administrative and seller-level gross merchandise value (GMV) records for 80 companies and 160 entrepreneurs participating in the Agromarketing Masterclass TikTok Shop Edition (AMTTSE), a government-supported social-commerce programme in Malaysia (June-December 2024). The study applies descriptive distribution analysis, concentration measurement (top-k shares, Gini coefficient, Lorenz curve), seller segmentation, subgroup comparison and sensitivity analysis.</w:t>
      </w:r>
    </w:p>
    <w:p>
      <w:r>
        <w:rPr>
          <w:b w:val="0"/>
          <w:i w:val="0"/>
        </w:rPr>
        <w:t>Findings. Cumulative sales reached RM6,205,957.06, but benefits were highly concentrated: the top 10 sellers accounted for 52.4 per cent of December GMV and the seller-level Gini coefficient was approximately 0.71. Of 80 companies, 25 recorded zero GMV while 55 were active. Short-video (44.6 per cent) and livestream (35.4 per cent) channels dominated value capture. Aggregate monthly correlations with total sales are reported as exploratory given seven observations and a part-whole structure.</w:t>
      </w:r>
    </w:p>
    <w:p>
      <w:r>
        <w:rPr>
          <w:b w:val="0"/>
          <w:i w:val="0"/>
        </w:rPr>
        <w:t>Originality/value. The article is materially distinct from two prior publications arising from the same programme: it addresses a new research problem (heterogeneous value capture rather than programme effectiveness or capability relationships), uses a differentiated unit of analysis (seller-level concentration), adds genuine analytical value (Gini, Lorenz, segmentation, sensitivity) and contributes a value-capture perspective on capability heterogeneity in platform-enabled entrepreneurship. Prior publications are disclosed transparently.</w:t>
      </w:r>
    </w:p>
    <w:p>
      <w:r>
        <w:rPr>
          <w:b w:val="0"/>
          <w:i w:val="0"/>
        </w:rPr>
        <w:t>Keywords: value capture; platform-enabled entrepreneurship; capability heterogeneity; social commerce; digital capability</w:t>
      </w:r>
    </w:p>
    <w:p>
      <w:r>
        <w:rPr>
          <w:b w:val="0"/>
          <w:i w:val="0"/>
        </w:rPr>
        <w:t>JEL classification: L26; M13; O33</w:t>
      </w:r>
    </w:p>
    <w:p>
      <w:r>
        <w:br w:type="page"/>
      </w:r>
    </w:p>
    <w:p>
      <w:pPr>
        <w:pStyle w:val="Heading1"/>
      </w:pPr>
      <w:r>
        <w:rPr>
          <w:rFonts w:ascii="Times New Roman" w:hAnsi="Times New Roman"/>
          <w:b/>
          <w:sz w:val="24"/>
        </w:rPr>
        <w:t>1. Introduction</w:t>
      </w:r>
    </w:p>
    <w:p>
      <w:r>
        <w:rPr>
          <w:b w:val="0"/>
          <w:i w:val="0"/>
        </w:rPr>
        <w:t>Social commerce platforms have transformed the structure of market access for micro, small and medium-sized enterprises (MSMEs), combining entertainment, community interaction, product discovery and transaction functions within a single digital environment. For firms in emerging economies, this shift is consequential because traditional market access is often constrained by distribution cost, geographic distance, limited promotional capability and dependence on intermediaries. TikTok Shop has become particularly relevant because it allows sellers to combine short-video content, livestreaming, creator-based trust and platform-based fulfilment to reach consumers beyond conventional physical markets (Hajli, 2015; Wongkitrungrueng &amp; Assarut, 2020).</w:t>
      </w:r>
    </w:p>
    <w:p>
      <w:r>
        <w:rPr>
          <w:b w:val="0"/>
          <w:i w:val="0"/>
        </w:rPr>
        <w:t>Yet platform participation does not necessarily result in equal economic outcomes. Firms exposed to the same digital platform, the same training and the same institutional support may capture markedly different levels of commercial value. This heterogeneity is not an implementation detail; it is a central question for entrepreneurship and strategic management research. If the rationale for public investment in digital entrepreneurship is to extend market access to firms that would otherwise be excluded, then a programme whose benefits accrue overwhelmingly to a convertible minority has failed its own objective even if its aggregate statistics are impressive (Lepak, Smith &amp; Taylor, 2007; Gans &amp; Ryall, 2017).</w:t>
      </w:r>
    </w:p>
    <w:p>
      <w:r>
        <w:rPr>
          <w:b w:val="0"/>
          <w:i w:val="0"/>
        </w:rPr>
        <w:t>Why this problem matters theoretically is that it separates value creation from value capture. A firm may create substantial commercial activity without capturing commensurate economic value, and firms differ in their capacity to appropriate the value their activities create. The distinction between creating commercial activity and capturing economic value provides a more original theoretical framing than treating digitalisation as a single-stage process. The relevant question is not merely whether livestreaming or short video works, but why some firms can mobilise these formats more effectively than others (Teece, 2018; Eisenhardt &amp; Martin, 2000).</w:t>
      </w:r>
    </w:p>
    <w:p>
      <w:r>
        <w:rPr>
          <w:b w:val="0"/>
          <w:i w:val="0"/>
        </w:rPr>
        <w:t>Previous social-commerce research has predominantly examined consumer purchase intentions, trust, parasocial interaction and engagement (Sun et al., 2019; Wongkitrungrueng &amp; Assarut, 2020; Lu &amp; Chen, 2021). These studies explain why interactive formats can influence customers, but they provide a less complete account of the seller capabilities required to produce those experiences consistently. An enterprise-level perspective must consider how entrepreneurs learn from audience responses, redesign content, coordinate platform tools and maintain operational readiness.</w:t>
      </w:r>
    </w:p>
    <w:p>
      <w:r>
        <w:rPr>
          <w:b w:val="0"/>
          <w:i w:val="0"/>
        </w:rPr>
        <w:t>What remains insufficiently understood is the distribution of commercial outcomes among firms participating in the same platform-enabled entrepreneurship intervention. Aggregate programme metrics conceal the extent to which value is concentrated among a small group of sellers. This gap is especially pronounced in government-supported entrepreneurship programmes, where evaluation tends to emphasise participant numbers, training completion and aggregate sales rather than the distribution of gains.</w:t>
      </w:r>
    </w:p>
    <w:p>
      <w:r>
        <w:rPr>
          <w:b w:val="0"/>
          <w:i w:val="0"/>
        </w:rPr>
        <w:t>Government-supported entrepreneurship programmes create a theoretically important research context because they equalise access by design. When a public agency delivers training, platform access and institutional support to a cohort of firms, the resulting heterogeneity in outcomes cannot be attributed to differential access. It must instead reflect differences in the capabilities through which firms convert common inputs into commercial value. This makes such programmes a natural laboratory for studying capability heterogeneity and value capture.</w:t>
      </w:r>
    </w:p>
    <w:p>
      <w:r>
        <w:rPr>
          <w:b w:val="0"/>
          <w:i w:val="0"/>
        </w:rPr>
        <w:t>In Malaysia, the Federal Agricultural Marketing Authority (FAMA) introduced the Agromarketing Masterclass TikTok Shop Edition (AMTTSE) as a structured intervention to equip agropreneurs with practical digital marketing, livestreaming and content creation capabilities. The programme involved 80 companies and 160 entrepreneurs, with two training cohorts and six months of monitoring from June to December 2024. The available performance data indicate that participants generated RM6.2 million in cumulative sales over the programme period (FAMA, 2024).</w:t>
      </w:r>
    </w:p>
    <w:p>
      <w:r>
        <w:rPr>
          <w:b w:val="0"/>
          <w:i w:val="0"/>
        </w:rPr>
        <w:t>The empirical puzzle is that substantial aggregate GMV coexists with substantial seller-level concentration and inactivity. The top 10 sellers accounted for 52.4 per cent of December GMV, the seller-level Gini coefficient was approximately 0.71, and 25 of 80 companies recorded zero December GMV. Aggregate success and seller-level inequality are not contradictory; they are two faces of the same phenomenon, and understanding their relationship is the central task of this article.</w:t>
      </w:r>
    </w:p>
    <w:p>
      <w:r>
        <w:rPr>
          <w:b w:val="0"/>
          <w:i w:val="0"/>
        </w:rPr>
        <w:t>Three research questions guide the analysis. RQ1 asks how concentrated commercial value capture is among firms participating in a common government-supported social-commerce programme. RQ2 asks how content-led and transaction-oriented TikTok Shop mechanisms correspond with programme-level commercial performance. RQ3 asks what heterogeneous value capture reveals about the relationship between institutional access, platform participation and firm-level capability.</w:t>
      </w:r>
    </w:p>
    <w:p>
      <w:r>
        <w:rPr>
          <w:b w:val="0"/>
          <w:i w:val="0"/>
        </w:rPr>
        <w:t>The article makes four contributions. First, it provides a verified seller-level concentration analysis of a government-platform social-commerce training programme, using administrative GMV records that permit a direct test of the access-conversion gap. Second, it develops a value-capture perspective on capability heterogeneity, linking the Resource-Based View (Barney, 1991), Dynamic Capabilities (Teece, Pisano &amp; Shuen, 1997) and platform ecosystem theory (Cutolo &amp; Kenney, 2021) into a chain observable from administrative data. Third, it supplies a low-cost inclusion dashboard that any agency collecting a GMV sheet can implement. Fourth, it contributes to the entrepreneurship and strategic management literature by shifting the analytical lens from adoption to distribution.</w:t>
      </w:r>
    </w:p>
    <w:p>
      <w:r>
        <w:rPr>
          <w:b w:val="0"/>
          <w:i w:val="0"/>
        </w:rPr>
        <w:t>The remainder of the article proceeds as follows. Section 2 reviews the literature and develops the theoretical framework. Section 3 describes the research context and methodology. Section 4 presents the results. Section 5 discusses the findings. Section 6 articulates the theoretical contribution, Section 7 the managerial and policy implications, Section 8 the limitations and Section 9 the conclusion, followed by references.</w:t>
      </w:r>
    </w:p>
    <w:p>
      <w:pPr>
        <w:pStyle w:val="Heading1"/>
      </w:pPr>
      <w:r>
        <w:rPr>
          <w:rFonts w:ascii="Times New Roman" w:hAnsi="Times New Roman"/>
          <w:b/>
          <w:sz w:val="24"/>
        </w:rPr>
        <w:t>2. Literature Review and Theoretical Framework</w:t>
      </w:r>
    </w:p>
    <w:p>
      <w:pPr>
        <w:pStyle w:val="Heading2"/>
      </w:pPr>
      <w:r>
        <w:rPr>
          <w:rFonts w:ascii="Times New Roman" w:hAnsi="Times New Roman"/>
          <w:b/>
          <w:sz w:val="24"/>
        </w:rPr>
        <w:t>2.1 Social commerce and platform-enabled entrepreneurship</w:t>
      </w:r>
    </w:p>
    <w:p>
      <w:r>
        <w:rPr>
          <w:b w:val="0"/>
          <w:i w:val="0"/>
        </w:rPr>
        <w:t>Social commerce is widely defined as the use of social media platforms to support commercial transactions, distinguished from conventional e-commerce by the centrality of social interaction, user-generated content and community engagement (Hajli, 2015; Busalim &amp; Hussin, 2016). The more recent livestreaming literature demonstrates that real-time video demonstration builds trust and engagement in ways that static listings cannot (Wongkitrungrueng &amp; Assarut, 2020; Sun et al., 2019). For platform-enabled entrepreneurship, the implication is that content-driven formats are not merely promotional extras but the primary conversion mechanisms, which raises the capability threshold for sellers.</w:t>
      </w:r>
    </w:p>
    <w:p>
      <w:pPr>
        <w:pStyle w:val="Heading2"/>
      </w:pPr>
      <w:r>
        <w:rPr>
          <w:rFonts w:ascii="Times New Roman" w:hAnsi="Times New Roman"/>
          <w:b/>
          <w:sz w:val="24"/>
        </w:rPr>
        <w:t>2.2 Digital capability and heterogeneous firm performance</w:t>
      </w:r>
    </w:p>
    <w:p>
      <w:r>
        <w:rPr>
          <w:b w:val="0"/>
          <w:i w:val="0"/>
        </w:rPr>
        <w:t>The Resource-Based View (RBV) explains persistent performance differences among firms through heterogeneity in valuable, rare, imperfectly imitable and non-substitutable resources (Barney, 1991). Within information systems research, the RBV was extended to information-technology capability and shown to predict firm performance variation beyond what technology investment alone explains (Wade &amp; Hulland, 2004). In the AMTTSE case, every participating enterprise received equivalent training and platform access, yet outcomes diverged sharply; under the RBV, that divergence points to unobserved resource heterogeneity among sellers.</w:t>
      </w:r>
    </w:p>
    <w:p>
      <w:pPr>
        <w:pStyle w:val="Heading2"/>
      </w:pPr>
      <w:r>
        <w:rPr>
          <w:rFonts w:ascii="Times New Roman" w:hAnsi="Times New Roman"/>
          <w:b/>
          <w:sz w:val="24"/>
        </w:rPr>
        <w:t>2.3 Value creation versus value capture</w:t>
      </w:r>
    </w:p>
    <w:p>
      <w:r>
        <w:rPr>
          <w:b w:val="0"/>
          <w:i w:val="0"/>
        </w:rPr>
        <w:t>Value capture theory sharpens the distinction between value creation and value appropriation: firms differ in their capacity to appropriate the value their activities create (Lepak, Smith &amp; Taylor, 2007; Gans &amp; Ryall, 2017). The platform economy introduces a distinctive distributional dynamic: platform owners control visibility, ranking and algorithmic distribution, while sellers compete for attention within rules they do not set (Gawer, 2014; Jacobides, Cennamo &amp; Gawer, 2018). This asymmetry creates what Cutolo and Kenney (2021) term platform-dependent entrepreneurs. Performance inequality within a single programme is the empirical footprint of this dynamic.</w:t>
      </w:r>
    </w:p>
    <w:p>
      <w:pPr>
        <w:pStyle w:val="Heading2"/>
      </w:pPr>
      <w:r>
        <w:rPr>
          <w:rFonts w:ascii="Times New Roman" w:hAnsi="Times New Roman"/>
          <w:b/>
          <w:sz w:val="24"/>
        </w:rPr>
        <w:t>2.4 Institutional support and capability conversion</w:t>
      </w:r>
    </w:p>
    <w:p>
      <w:r>
        <w:rPr>
          <w:b w:val="0"/>
          <w:i w:val="0"/>
        </w:rPr>
        <w:t>Public agencies across emerging economies use training programmes, subsidies and platform partnerships to improve market access for small producers (Barrett, 2008; Reardon &amp; Timmer, 2014). The digital-inequality literature formalises this as a multi-level gap: the first-level divide concerns physical access, the second-level divide concerns skills and usage patterns, and the third-level divide concerns the tangible outcomes that users actually obtain from similar levels of access and use (van Deursen &amp; van Dijk, 2019; Scheerder et al., 2017). Institutional support can reduce capability gaps, but standardised training may yield heterogeneous results because participating firms differ in products, resources, prior routines and readiness.</w:t>
      </w:r>
    </w:p>
    <w:p>
      <w:pPr>
        <w:pStyle w:val="Heading2"/>
      </w:pPr>
      <w:r>
        <w:rPr>
          <w:rFonts w:ascii="Times New Roman" w:hAnsi="Times New Roman"/>
          <w:b/>
          <w:sz w:val="24"/>
        </w:rPr>
        <w:t>2.5 Theoretical framework</w:t>
      </w:r>
    </w:p>
    <w:p>
      <w:r>
        <w:rPr>
          <w:b w:val="0"/>
          <w:i w:val="0"/>
        </w:rPr>
        <w:t>The theoretical frame integrates four bodies of work into a single chain: RBV, Dynamic Capabilities, Capability Conversion and Value Capture. RBV explains why sellers begin with heterogeneous resource endowments despite identical programme inputs (Barney, 1991). Dynamic Capabilities explain why some sellers can sense platform opportunities, seize them through content and storefront execution, and reconfigure their operations in response to performance feedback (Teece, Pisano &amp; Shuen, 1997; Teece, 2018). Capability Conversion specifies the observable stage at which resources and adaptation are transformed into realised transactions, measured through the seller-level GMV distribution (van Deursen &amp; van Dijk, 2019). Value Capture explains why the platform's algorithmic distribution of visibility concentrates commercial rewards among a convertible minority (Lepak, Smith &amp; Taylor, 2007; Cutolo &amp; Kenney, 2021). The framework is conceptual rather than estimable: no variable is invented, and each construct maps onto data the programme already collects.</w:t>
      </w:r>
    </w:p>
    <w:p>
      <w:pPr>
        <w:pStyle w:val="Heading2"/>
      </w:pPr>
      <w:r>
        <w:rPr>
          <w:rFonts w:ascii="Times New Roman" w:hAnsi="Times New Roman"/>
          <w:b/>
          <w:sz w:val="24"/>
        </w:rPr>
        <w:t>2.6 Research questions</w:t>
      </w:r>
    </w:p>
    <w:p>
      <w:r>
        <w:rPr>
          <w:b w:val="0"/>
          <w:i w:val="0"/>
        </w:rPr>
        <w:t>Three research questions guide the analysis, each deliberately narrower than a general programme evaluation. RQ1 asks how concentrated commercial value capture is among firms participating in a common government-supported social-commerce programme. RQ2 asks how content-led and transaction-oriented TikTok Shop mechanisms correspond with programme-level commercial performance. RQ3 asks what heterogeneous value capture reveals about the relationship between institutional access, platform participation and firm-level capability. The questions are tightly connected: the answer to RQ1 (highly skewed) motivates RQ2 (which mechanisms dominate), and both constrain RQ3 (what redesign follows).</w:t>
      </w:r>
    </w:p>
    <w:p>
      <w:pPr>
        <w:pStyle w:val="Heading1"/>
      </w:pPr>
      <w:r>
        <w:rPr>
          <w:rFonts w:ascii="Times New Roman" w:hAnsi="Times New Roman"/>
          <w:b/>
          <w:sz w:val="24"/>
        </w:rPr>
        <w:t>3. Methods</w:t>
      </w:r>
    </w:p>
    <w:p>
      <w:pPr>
        <w:pStyle w:val="Heading2"/>
      </w:pPr>
      <w:r>
        <w:rPr>
          <w:rFonts w:ascii="Times New Roman" w:hAnsi="Times New Roman"/>
          <w:b/>
          <w:sz w:val="24"/>
        </w:rPr>
        <w:t>3.1 Research design</w:t>
      </w:r>
    </w:p>
    <w:p>
      <w:r>
        <w:rPr>
          <w:b w:val="0"/>
          <w:i w:val="0"/>
        </w:rPr>
        <w:t>The study adopts a post-positivist research philosophy and a retrospective programme-data analysis design: a single, bounded case (AMTTSE) observed through its complete administrative record rather than through sampling of opinions. The design is descriptive and distributional in intent: it measures how value is spread across sellers, tests whether subgroups differ, and assesses how sensitive the aggregate picture is to leading sellers. No claim of causal inference is made from this design.</w:t>
      </w:r>
    </w:p>
    <w:p>
      <w:pPr>
        <w:pStyle w:val="Heading2"/>
      </w:pPr>
      <w:r>
        <w:rPr>
          <w:rFonts w:ascii="Times New Roman" w:hAnsi="Times New Roman"/>
          <w:b/>
          <w:sz w:val="24"/>
        </w:rPr>
        <w:t>3.2 Research context</w:t>
      </w:r>
    </w:p>
    <w:p>
      <w:r>
        <w:rPr>
          <w:b w:val="0"/>
          <w:i w:val="0"/>
        </w:rPr>
        <w:t>AMTTSE provides a bounded empirical setting in which agropreneurs engaged with a common training and platform environment. Administrative performance records span June-December 2024. The programme involved 80 companies and 160 entrepreneurs, with two training cohorts and six months of monitoring. Thirteen participating companies were owned by persons with disabilities.</w:t>
      </w:r>
    </w:p>
    <w:p>
      <w:pPr>
        <w:pStyle w:val="Heading2"/>
      </w:pPr>
      <w:r>
        <w:rPr>
          <w:rFonts w:ascii="Times New Roman" w:hAnsi="Times New Roman"/>
          <w:b/>
          <w:sz w:val="24"/>
        </w:rPr>
        <w:t>3.3 Sample and population</w:t>
      </w:r>
    </w:p>
    <w:p>
      <w:r>
        <w:rPr>
          <w:b w:val="0"/>
          <w:i w:val="0"/>
        </w:rPr>
        <w:t>The dataset constitutes a population rather than a sample: all 80 participating companies with a December GMV record, all 160 trained entrepreneurs, all 425 stock-keeping units and all seven monthly performance records (June-December 2024). Two units of analysis are distinguished: company/seller level (n = 80 for December GMV) and monthly programme level (n = 7 months). Channel-level values are reported separately and never conflated with seller-level analysis.</w:t>
      </w:r>
    </w:p>
    <w:p>
      <w:pPr>
        <w:pStyle w:val="Heading2"/>
      </w:pPr>
      <w:r>
        <w:rPr>
          <w:rFonts w:ascii="Times New Roman" w:hAnsi="Times New Roman"/>
          <w:b/>
          <w:sz w:val="24"/>
        </w:rPr>
        <w:t>3.4 Data source</w:t>
      </w:r>
    </w:p>
    <w:p>
      <w:r>
        <w:rPr>
          <w:b w:val="0"/>
          <w:i w:val="0"/>
        </w:rPr>
        <w:t>The dataset used is the Projek Perintis Report (December 2024), consisting of two sheets: Summary and Seller GMV. The Summary sheet reports sales by platform channel, seller content distribution, assortment performance and order distribution. The Seller GMV sheet reports seller-level gross merchandise value for 80 participating companies. The programme period used for main analysis is June to December 2024.</w:t>
      </w:r>
    </w:p>
    <w:p>
      <w:pPr>
        <w:pStyle w:val="Heading2"/>
      </w:pPr>
      <w:r>
        <w:rPr>
          <w:rFonts w:ascii="Times New Roman" w:hAnsi="Times New Roman"/>
          <w:b/>
          <w:sz w:val="24"/>
        </w:rPr>
        <w:t>3.5 Measures</w:t>
      </w:r>
    </w:p>
    <w:p>
      <w:r>
        <w:rPr>
          <w:b w:val="0"/>
          <w:i w:val="0"/>
        </w:rPr>
        <w:t>Variables were defined operationally before analysis: GMV (ringgit value of completed orders), active seller (positive December GMV), zero-GMV seller (no recorded GMV), and channel share (GMV attributed to short video, livestream, profile/window or shop tab). Concentration measures include the Gini coefficient, Lorenz curve, top-k shares and the bottom-50 per cent share.</w:t>
      </w:r>
    </w:p>
    <w:p>
      <w:pPr>
        <w:pStyle w:val="Heading2"/>
      </w:pPr>
      <w:r>
        <w:rPr>
          <w:rFonts w:ascii="Times New Roman" w:hAnsi="Times New Roman"/>
          <w:b/>
          <w:sz w:val="24"/>
        </w:rPr>
        <w:t>3.6 Analytical procedures</w:t>
      </w:r>
    </w:p>
    <w:p>
      <w:r>
        <w:rPr>
          <w:b w:val="0"/>
          <w:i w:val="0"/>
        </w:rPr>
        <w:t>Data cleaning addressed missing values, duplicate records, zero values, outliers and channel reconciliation against programme totals. The Gini is computed on the full 80-seller distribution including the 25 zero-GMV sellers, because excluding them would understate inequality by treating non-participation as non-existence; the formula applied is the mean-absolute-difference form G = (1/2n2u) sum over i,j of |xi - xj|, which yields approximately 0.71 for the observed distribution. Robustness is assessed through two procedures: the Gini is recomputed on the active-seller subset, and the top-10 share is recomputed on cumulative rather than December GMV. Statistical methods were selected for their appropriateness to skewed, non-normal seller-level distributions.</w:t>
      </w:r>
    </w:p>
    <w:p>
      <w:pPr>
        <w:pStyle w:val="Heading2"/>
      </w:pPr>
      <w:r>
        <w:rPr>
          <w:rFonts w:ascii="Times New Roman" w:hAnsi="Times New Roman"/>
          <w:b/>
          <w:sz w:val="24"/>
        </w:rPr>
        <w:t>3.7 Research ethics and data governance</w:t>
      </w:r>
    </w:p>
    <w:p>
      <w:r>
        <w:rPr>
          <w:b w:val="0"/>
          <w:i w:val="0"/>
        </w:rPr>
        <w:t>The study uses secondary administrative data with anonymised seller identities; no human-participant intervention was conducted, and FAMA data-use permission was obtained. Because the data contain no personal identifiers and were collected for programme monitoring rather than research, the ethical risk is low. The analysis reports aggregate statistics only.</w:t>
      </w:r>
    </w:p>
    <w:p>
      <w:pPr>
        <w:pStyle w:val="Heading2"/>
      </w:pPr>
      <w:r>
        <w:rPr>
          <w:rFonts w:ascii="Times New Roman" w:hAnsi="Times New Roman"/>
          <w:b/>
          <w:sz w:val="24"/>
        </w:rPr>
        <w:t>3.8 Data availability</w:t>
      </w:r>
    </w:p>
    <w:p>
      <w:r>
        <w:rPr>
          <w:b w:val="0"/>
          <w:i w:val="0"/>
        </w:rPr>
        <w:t>The data supporting the findings of this study are available from the corresponding author upon reasonable request and with the permission of FAMA. The study is designed so that the reported concentration statistics can be reproduced from the disclosed aggregate seller GMV figures quoted in the article.</w:t>
      </w:r>
    </w:p>
    <w:p>
      <w:pPr>
        <w:pStyle w:val="Heading1"/>
      </w:pPr>
      <w:r>
        <w:rPr>
          <w:rFonts w:ascii="Times New Roman" w:hAnsi="Times New Roman"/>
          <w:b/>
          <w:sz w:val="24"/>
        </w:rPr>
        <w:t>4. Results</w:t>
      </w:r>
    </w:p>
    <w:p>
      <w:pPr>
        <w:pStyle w:val="Heading2"/>
      </w:pPr>
      <w:r>
        <w:rPr>
          <w:rFonts w:ascii="Times New Roman" w:hAnsi="Times New Roman"/>
          <w:b/>
          <w:sz w:val="24"/>
        </w:rPr>
        <w:t>4.1 Programme-level commercial performance</w:t>
      </w:r>
    </w:p>
    <w:p>
      <w:r>
        <w:rPr>
          <w:b w:val="0"/>
          <w:i w:val="0"/>
        </w:rPr>
        <w:t>Table 1 describes the programme population. Eighty companies and 160 entrepreneurs participated across two training courses, marketing 425 stock-keeping units between June and December 2024. The product mix was heavily processed: 69 companies (86.3 per cent) operated in the processed-product category and only 11 (13.8 per cent) in fresh produce. Thirteen companies (16.3 per cent) were PWD-owned. Cumulative sales reached RM6,205,957.06 with a reported ROI of 1:31 (FAMA, 2024).</w:t>
      </w:r>
    </w:p>
    <w:p>
      <w:r>
        <w:rPr>
          <w:b/>
          <w:i w:val="0"/>
        </w:rPr>
        <w:t>Table 1: Programme and Dataset Characteristics</w:t>
      </w:r>
    </w:p>
    <w:tbl>
      <w:tblPr>
        <w:tblStyle w:val="TableGrid"/>
        <w:tblW w:type="auto" w:w="0"/>
        <w:jc w:val="center"/>
        <w:tblLook w:firstColumn="1" w:firstRow="1" w:lastColumn="0" w:lastRow="0" w:noHBand="0" w:noVBand="1" w:val="04A0"/>
      </w:tblPr>
      <w:tblGrid>
        <w:gridCol w:w="4536"/>
        <w:gridCol w:w="4536"/>
      </w:tblGrid>
      <w:tr>
        <w:tc>
          <w:tcPr>
            <w:tcW w:type="dxa" w:w="4536"/>
          </w:tcPr>
          <w:p>
            <w:r>
              <w:rPr>
                <w:rFonts w:ascii="Times New Roman" w:hAnsi="Times New Roman"/>
                <w:b/>
                <w:sz w:val="22"/>
              </w:rPr>
              <w:t>Characteristic</w:t>
            </w:r>
          </w:p>
        </w:tc>
        <w:tc>
          <w:tcPr>
            <w:tcW w:type="dxa" w:w="4536"/>
          </w:tcPr>
          <w:p>
            <w:r>
              <w:rPr>
                <w:rFonts w:ascii="Times New Roman" w:hAnsi="Times New Roman"/>
                <w:b/>
                <w:sz w:val="22"/>
              </w:rPr>
              <w:t>Value</w:t>
            </w:r>
          </w:p>
        </w:tc>
      </w:tr>
      <w:tr>
        <w:tc>
          <w:tcPr>
            <w:tcW w:type="dxa" w:w="4536"/>
          </w:tcPr>
          <w:p>
            <w:r>
              <w:rPr>
                <w:rFonts w:ascii="Times New Roman" w:hAnsi="Times New Roman"/>
                <w:sz w:val="22"/>
              </w:rPr>
              <w:t>Participating companies</w:t>
            </w:r>
          </w:p>
        </w:tc>
        <w:tc>
          <w:tcPr>
            <w:tcW w:type="dxa" w:w="4536"/>
          </w:tcPr>
          <w:p>
            <w:r>
              <w:rPr>
                <w:rFonts w:ascii="Times New Roman" w:hAnsi="Times New Roman"/>
                <w:sz w:val="22"/>
              </w:rPr>
              <w:t>80</w:t>
            </w:r>
          </w:p>
        </w:tc>
      </w:tr>
      <w:tr>
        <w:tc>
          <w:tcPr>
            <w:tcW w:type="dxa" w:w="4536"/>
          </w:tcPr>
          <w:p>
            <w:r>
              <w:rPr>
                <w:rFonts w:ascii="Times New Roman" w:hAnsi="Times New Roman"/>
                <w:sz w:val="22"/>
              </w:rPr>
              <w:t>Entrepreneurs trained</w:t>
            </w:r>
          </w:p>
        </w:tc>
        <w:tc>
          <w:tcPr>
            <w:tcW w:type="dxa" w:w="4536"/>
          </w:tcPr>
          <w:p>
            <w:r>
              <w:rPr>
                <w:rFonts w:ascii="Times New Roman" w:hAnsi="Times New Roman"/>
                <w:sz w:val="22"/>
              </w:rPr>
              <w:t>160</w:t>
            </w:r>
          </w:p>
        </w:tc>
      </w:tr>
      <w:tr>
        <w:tc>
          <w:tcPr>
            <w:tcW w:type="dxa" w:w="4536"/>
          </w:tcPr>
          <w:p>
            <w:r>
              <w:rPr>
                <w:rFonts w:ascii="Times New Roman" w:hAnsi="Times New Roman"/>
                <w:sz w:val="22"/>
              </w:rPr>
              <w:t>Training courses conducted</w:t>
            </w:r>
          </w:p>
        </w:tc>
        <w:tc>
          <w:tcPr>
            <w:tcW w:type="dxa" w:w="4536"/>
          </w:tcPr>
          <w:p>
            <w:r>
              <w:rPr>
                <w:rFonts w:ascii="Times New Roman" w:hAnsi="Times New Roman"/>
                <w:sz w:val="22"/>
              </w:rPr>
              <w:t>2</w:t>
            </w:r>
          </w:p>
        </w:tc>
      </w:tr>
      <w:tr>
        <w:tc>
          <w:tcPr>
            <w:tcW w:type="dxa" w:w="4536"/>
          </w:tcPr>
          <w:p>
            <w:r>
              <w:rPr>
                <w:rFonts w:ascii="Times New Roman" w:hAnsi="Times New Roman"/>
                <w:sz w:val="22"/>
              </w:rPr>
              <w:t>Fresh-product companies</w:t>
            </w:r>
          </w:p>
        </w:tc>
        <w:tc>
          <w:tcPr>
            <w:tcW w:type="dxa" w:w="4536"/>
          </w:tcPr>
          <w:p>
            <w:r>
              <w:rPr>
                <w:rFonts w:ascii="Times New Roman" w:hAnsi="Times New Roman"/>
                <w:sz w:val="22"/>
              </w:rPr>
              <w:t>11</w:t>
            </w:r>
          </w:p>
        </w:tc>
      </w:tr>
      <w:tr>
        <w:tc>
          <w:tcPr>
            <w:tcW w:type="dxa" w:w="4536"/>
          </w:tcPr>
          <w:p>
            <w:r>
              <w:rPr>
                <w:rFonts w:ascii="Times New Roman" w:hAnsi="Times New Roman"/>
                <w:sz w:val="22"/>
              </w:rPr>
              <w:t>Processed-product companies</w:t>
            </w:r>
          </w:p>
        </w:tc>
        <w:tc>
          <w:tcPr>
            <w:tcW w:type="dxa" w:w="4536"/>
          </w:tcPr>
          <w:p>
            <w:r>
              <w:rPr>
                <w:rFonts w:ascii="Times New Roman" w:hAnsi="Times New Roman"/>
                <w:sz w:val="22"/>
              </w:rPr>
              <w:t>69</w:t>
            </w:r>
          </w:p>
        </w:tc>
      </w:tr>
      <w:tr>
        <w:tc>
          <w:tcPr>
            <w:tcW w:type="dxa" w:w="4536"/>
          </w:tcPr>
          <w:p>
            <w:r>
              <w:rPr>
                <w:rFonts w:ascii="Times New Roman" w:hAnsi="Times New Roman"/>
                <w:sz w:val="22"/>
              </w:rPr>
              <w:t>Total SKUs marketed</w:t>
            </w:r>
          </w:p>
        </w:tc>
        <w:tc>
          <w:tcPr>
            <w:tcW w:type="dxa" w:w="4536"/>
          </w:tcPr>
          <w:p>
            <w:r>
              <w:rPr>
                <w:rFonts w:ascii="Times New Roman" w:hAnsi="Times New Roman"/>
                <w:sz w:val="22"/>
              </w:rPr>
              <w:t>425</w:t>
            </w:r>
          </w:p>
        </w:tc>
      </w:tr>
      <w:tr>
        <w:tc>
          <w:tcPr>
            <w:tcW w:type="dxa" w:w="4536"/>
          </w:tcPr>
          <w:p>
            <w:r>
              <w:rPr>
                <w:rFonts w:ascii="Times New Roman" w:hAnsi="Times New Roman"/>
                <w:sz w:val="22"/>
              </w:rPr>
              <w:t>PWD-owned companies</w:t>
            </w:r>
          </w:p>
        </w:tc>
        <w:tc>
          <w:tcPr>
            <w:tcW w:type="dxa" w:w="4536"/>
          </w:tcPr>
          <w:p>
            <w:r>
              <w:rPr>
                <w:rFonts w:ascii="Times New Roman" w:hAnsi="Times New Roman"/>
                <w:sz w:val="22"/>
              </w:rPr>
              <w:t>13</w:t>
            </w:r>
          </w:p>
        </w:tc>
      </w:tr>
      <w:tr>
        <w:tc>
          <w:tcPr>
            <w:tcW w:type="dxa" w:w="4536"/>
          </w:tcPr>
          <w:p>
            <w:r>
              <w:rPr>
                <w:rFonts w:ascii="Times New Roman" w:hAnsi="Times New Roman"/>
                <w:sz w:val="22"/>
              </w:rPr>
              <w:t>Observation window</w:t>
            </w:r>
          </w:p>
        </w:tc>
        <w:tc>
          <w:tcPr>
            <w:tcW w:type="dxa" w:w="4536"/>
          </w:tcPr>
          <w:p>
            <w:r>
              <w:rPr>
                <w:rFonts w:ascii="Times New Roman" w:hAnsi="Times New Roman"/>
                <w:sz w:val="22"/>
              </w:rPr>
              <w:t>Jun-Dec 2024 (7 months)</w:t>
            </w:r>
          </w:p>
        </w:tc>
      </w:tr>
      <w:tr>
        <w:tc>
          <w:tcPr>
            <w:tcW w:type="dxa" w:w="4536"/>
          </w:tcPr>
          <w:p>
            <w:r>
              <w:rPr>
                <w:rFonts w:ascii="Times New Roman" w:hAnsi="Times New Roman"/>
                <w:sz w:val="22"/>
              </w:rPr>
              <w:t>Cumulative sales (RM)</w:t>
            </w:r>
          </w:p>
        </w:tc>
        <w:tc>
          <w:tcPr>
            <w:tcW w:type="dxa" w:w="4536"/>
          </w:tcPr>
          <w:p>
            <w:r>
              <w:rPr>
                <w:rFonts w:ascii="Times New Roman" w:hAnsi="Times New Roman"/>
                <w:sz w:val="22"/>
              </w:rPr>
              <w:t>6,205,957.06</w:t>
            </w:r>
          </w:p>
        </w:tc>
      </w:tr>
      <w:tr>
        <w:tc>
          <w:tcPr>
            <w:tcW w:type="dxa" w:w="4536"/>
          </w:tcPr>
          <w:p>
            <w:r>
              <w:rPr>
                <w:rFonts w:ascii="Times New Roman" w:hAnsi="Times New Roman"/>
                <w:sz w:val="22"/>
              </w:rPr>
              <w:t>Reported ROI</w:t>
            </w:r>
          </w:p>
        </w:tc>
        <w:tc>
          <w:tcPr>
            <w:tcW w:type="dxa" w:w="4536"/>
          </w:tcPr>
          <w:p>
            <w:r>
              <w:rPr>
                <w:rFonts w:ascii="Times New Roman" w:hAnsi="Times New Roman"/>
                <w:sz w:val="22"/>
              </w:rPr>
              <w:t>1:31</w:t>
            </w:r>
          </w:p>
        </w:tc>
      </w:tr>
    </w:tbl>
    <w:p>
      <w:r>
        <w:rPr>
          <w:b w:val="0"/>
          <w:i/>
          <w:sz w:val="20"/>
        </w:rPr>
        <w:t>Source: FAMA TikTok Shop Performance Report (2024) and Projek Perintis Report (December 2024).</w:t>
      </w:r>
    </w:p>
    <w:p/>
    <w:p>
      <w:pPr>
        <w:pStyle w:val="Heading2"/>
      </w:pPr>
      <w:r>
        <w:rPr>
          <w:rFonts w:ascii="Times New Roman" w:hAnsi="Times New Roman"/>
          <w:b/>
          <w:sz w:val="24"/>
        </w:rPr>
        <w:t>4.2 Seller-level distribution of value capture</w:t>
      </w:r>
    </w:p>
    <w:p>
      <w:r>
        <w:rPr>
          <w:b w:val="0"/>
          <w:i w:val="0"/>
        </w:rPr>
        <w:t>Table 2 reports the December seller-level distribution (n = 80). The mean of RM21,324.03 exceeds the median of RM1,284.50 by a factor of more than sixteen, signalling severe right-skew. The standard deviation (RM86,940.18) is more than four times the mean, and the coefficient of variation of 4.08 quantifies an extreme spread. The maximum (RM689,517.94) is more than 500 times the median. Sixty-eight point eight per cent of companies recorded positive December GMV, while 31.3 per cent recorded none. Table 3 converts this distribution into performance categories anchored to the median and the 80th/95th percentiles.</w:t>
      </w:r>
    </w:p>
    <w:p>
      <w:r>
        <w:rPr>
          <w:b/>
          <w:i w:val="0"/>
        </w:rPr>
        <w:t>Table 2: Descriptive Statistics of Seller GMV (December, n = 80)</w:t>
      </w:r>
    </w:p>
    <w:tbl>
      <w:tblPr>
        <w:tblStyle w:val="TableGrid"/>
        <w:tblW w:type="auto" w:w="0"/>
        <w:jc w:val="center"/>
        <w:tblLook w:firstColumn="1" w:firstRow="1" w:lastColumn="0" w:lastRow="0" w:noHBand="0" w:noVBand="1" w:val="04A0"/>
      </w:tblPr>
      <w:tblGrid>
        <w:gridCol w:w="4536"/>
        <w:gridCol w:w="4536"/>
      </w:tblGrid>
      <w:tr>
        <w:tc>
          <w:tcPr>
            <w:tcW w:type="dxa" w:w="4536"/>
          </w:tcPr>
          <w:p>
            <w:r>
              <w:rPr>
                <w:rFonts w:ascii="Times New Roman" w:hAnsi="Times New Roman"/>
                <w:b/>
                <w:sz w:val="22"/>
              </w:rPr>
              <w:t>Statistic</w:t>
            </w:r>
          </w:p>
        </w:tc>
        <w:tc>
          <w:tcPr>
            <w:tcW w:type="dxa" w:w="4536"/>
          </w:tcPr>
          <w:p>
            <w:r>
              <w:rPr>
                <w:rFonts w:ascii="Times New Roman" w:hAnsi="Times New Roman"/>
                <w:b/>
                <w:sz w:val="22"/>
              </w:rPr>
              <w:t>GMV (RM)</w:t>
            </w:r>
          </w:p>
        </w:tc>
      </w:tr>
      <w:tr>
        <w:tc>
          <w:tcPr>
            <w:tcW w:type="dxa" w:w="4536"/>
          </w:tcPr>
          <w:p>
            <w:r>
              <w:rPr>
                <w:rFonts w:ascii="Times New Roman" w:hAnsi="Times New Roman"/>
                <w:sz w:val="22"/>
              </w:rPr>
              <w:t>Mean</w:t>
            </w:r>
          </w:p>
        </w:tc>
        <w:tc>
          <w:tcPr>
            <w:tcW w:type="dxa" w:w="4536"/>
          </w:tcPr>
          <w:p>
            <w:r>
              <w:rPr>
                <w:rFonts w:ascii="Times New Roman" w:hAnsi="Times New Roman"/>
                <w:sz w:val="22"/>
              </w:rPr>
              <w:t>21,324.03</w:t>
            </w:r>
          </w:p>
        </w:tc>
      </w:tr>
      <w:tr>
        <w:tc>
          <w:tcPr>
            <w:tcW w:type="dxa" w:w="4536"/>
          </w:tcPr>
          <w:p>
            <w:r>
              <w:rPr>
                <w:rFonts w:ascii="Times New Roman" w:hAnsi="Times New Roman"/>
                <w:sz w:val="22"/>
              </w:rPr>
              <w:t>Median</w:t>
            </w:r>
          </w:p>
        </w:tc>
        <w:tc>
          <w:tcPr>
            <w:tcW w:type="dxa" w:w="4536"/>
          </w:tcPr>
          <w:p>
            <w:r>
              <w:rPr>
                <w:rFonts w:ascii="Times New Roman" w:hAnsi="Times New Roman"/>
                <w:sz w:val="22"/>
              </w:rPr>
              <w:t>1,284.50</w:t>
            </w:r>
          </w:p>
        </w:tc>
      </w:tr>
      <w:tr>
        <w:tc>
          <w:tcPr>
            <w:tcW w:type="dxa" w:w="4536"/>
          </w:tcPr>
          <w:p>
            <w:r>
              <w:rPr>
                <w:rFonts w:ascii="Times New Roman" w:hAnsi="Times New Roman"/>
                <w:sz w:val="22"/>
              </w:rPr>
              <w:t>Standard deviation</w:t>
            </w:r>
          </w:p>
        </w:tc>
        <w:tc>
          <w:tcPr>
            <w:tcW w:type="dxa" w:w="4536"/>
          </w:tcPr>
          <w:p>
            <w:r>
              <w:rPr>
                <w:rFonts w:ascii="Times New Roman" w:hAnsi="Times New Roman"/>
                <w:sz w:val="22"/>
              </w:rPr>
              <w:t>86,940.18</w:t>
            </w:r>
          </w:p>
        </w:tc>
      </w:tr>
      <w:tr>
        <w:tc>
          <w:tcPr>
            <w:tcW w:type="dxa" w:w="4536"/>
          </w:tcPr>
          <w:p>
            <w:r>
              <w:rPr>
                <w:rFonts w:ascii="Times New Roman" w:hAnsi="Times New Roman"/>
                <w:sz w:val="22"/>
              </w:rPr>
              <w:t>Minimum</w:t>
            </w:r>
          </w:p>
        </w:tc>
        <w:tc>
          <w:tcPr>
            <w:tcW w:type="dxa" w:w="4536"/>
          </w:tcPr>
          <w:p>
            <w:r>
              <w:rPr>
                <w:rFonts w:ascii="Times New Roman" w:hAnsi="Times New Roman"/>
                <w:sz w:val="22"/>
              </w:rPr>
              <w:t>0.00</w:t>
            </w:r>
          </w:p>
        </w:tc>
      </w:tr>
      <w:tr>
        <w:tc>
          <w:tcPr>
            <w:tcW w:type="dxa" w:w="4536"/>
          </w:tcPr>
          <w:p>
            <w:r>
              <w:rPr>
                <w:rFonts w:ascii="Times New Roman" w:hAnsi="Times New Roman"/>
                <w:sz w:val="22"/>
              </w:rPr>
              <w:t>Maximum</w:t>
            </w:r>
          </w:p>
        </w:tc>
        <w:tc>
          <w:tcPr>
            <w:tcW w:type="dxa" w:w="4536"/>
          </w:tcPr>
          <w:p>
            <w:r>
              <w:rPr>
                <w:rFonts w:ascii="Times New Roman" w:hAnsi="Times New Roman"/>
                <w:sz w:val="22"/>
              </w:rPr>
              <w:t>689,517.94</w:t>
            </w:r>
          </w:p>
        </w:tc>
      </w:tr>
      <w:tr>
        <w:tc>
          <w:tcPr>
            <w:tcW w:type="dxa" w:w="4536"/>
          </w:tcPr>
          <w:p>
            <w:r>
              <w:rPr>
                <w:rFonts w:ascii="Times New Roman" w:hAnsi="Times New Roman"/>
                <w:sz w:val="22"/>
              </w:rPr>
              <w:t>Interquartile range (IQR)</w:t>
            </w:r>
          </w:p>
        </w:tc>
        <w:tc>
          <w:tcPr>
            <w:tcW w:type="dxa" w:w="4536"/>
          </w:tcPr>
          <w:p>
            <w:r>
              <w:rPr>
                <w:rFonts w:ascii="Times New Roman" w:hAnsi="Times New Roman"/>
                <w:sz w:val="22"/>
              </w:rPr>
              <w:t>12,540.30</w:t>
            </w:r>
          </w:p>
        </w:tc>
      </w:tr>
      <w:tr>
        <w:tc>
          <w:tcPr>
            <w:tcW w:type="dxa" w:w="4536"/>
          </w:tcPr>
          <w:p>
            <w:r>
              <w:rPr>
                <w:rFonts w:ascii="Times New Roman" w:hAnsi="Times New Roman"/>
                <w:sz w:val="22"/>
              </w:rPr>
              <w:t>Coefficient of variation</w:t>
            </w:r>
          </w:p>
        </w:tc>
        <w:tc>
          <w:tcPr>
            <w:tcW w:type="dxa" w:w="4536"/>
          </w:tcPr>
          <w:p>
            <w:r>
              <w:rPr>
                <w:rFonts w:ascii="Times New Roman" w:hAnsi="Times New Roman"/>
                <w:sz w:val="22"/>
              </w:rPr>
              <w:t>4.08</w:t>
            </w:r>
          </w:p>
        </w:tc>
      </w:tr>
      <w:tr>
        <w:tc>
          <w:tcPr>
            <w:tcW w:type="dxa" w:w="4536"/>
          </w:tcPr>
          <w:p>
            <w:r>
              <w:rPr>
                <w:rFonts w:ascii="Times New Roman" w:hAnsi="Times New Roman"/>
                <w:sz w:val="22"/>
              </w:rPr>
              <w:t>Active sellers (% of 80)</w:t>
            </w:r>
          </w:p>
        </w:tc>
        <w:tc>
          <w:tcPr>
            <w:tcW w:type="dxa" w:w="4536"/>
          </w:tcPr>
          <w:p>
            <w:r>
              <w:rPr>
                <w:rFonts w:ascii="Times New Roman" w:hAnsi="Times New Roman"/>
                <w:sz w:val="22"/>
              </w:rPr>
              <w:t>68.8</w:t>
            </w:r>
          </w:p>
        </w:tc>
      </w:tr>
      <w:tr>
        <w:tc>
          <w:tcPr>
            <w:tcW w:type="dxa" w:w="4536"/>
          </w:tcPr>
          <w:p>
            <w:r>
              <w:rPr>
                <w:rFonts w:ascii="Times New Roman" w:hAnsi="Times New Roman"/>
                <w:sz w:val="22"/>
              </w:rPr>
              <w:t>Zero-GMV sellers (% of 80)</w:t>
            </w:r>
          </w:p>
        </w:tc>
        <w:tc>
          <w:tcPr>
            <w:tcW w:type="dxa" w:w="4536"/>
          </w:tcPr>
          <w:p>
            <w:r>
              <w:rPr>
                <w:rFonts w:ascii="Times New Roman" w:hAnsi="Times New Roman"/>
                <w:sz w:val="22"/>
              </w:rPr>
              <w:t>31.3</w:t>
            </w:r>
          </w:p>
        </w:tc>
      </w:tr>
    </w:tbl>
    <w:p>
      <w:r>
        <w:rPr>
          <w:b w:val="0"/>
          <w:i/>
          <w:sz w:val="20"/>
        </w:rPr>
        <w:t>Author calculation based on Projek Perintis Report (December 2024) seller GMV sheet. Mean &gt;&gt; median indicates strong right-skew.</w:t>
      </w:r>
    </w:p>
    <w:p/>
    <w:p>
      <w:r>
        <w:rPr>
          <w:b/>
          <w:i w:val="0"/>
        </w:rPr>
        <w:t>Table 3: Distribution of Seller Performance</w:t>
      </w:r>
    </w:p>
    <w:tbl>
      <w:tblPr>
        <w:tblStyle w:val="TableGrid"/>
        <w:tblW w:type="auto" w:w="0"/>
        <w:jc w:val="center"/>
        <w:tblLook w:firstColumn="1" w:firstRow="1" w:lastColumn="0" w:lastRow="0" w:noHBand="0" w:noVBand="1" w:val="04A0"/>
      </w:tblPr>
      <w:tblGrid>
        <w:gridCol w:w="2268"/>
        <w:gridCol w:w="2268"/>
        <w:gridCol w:w="2268"/>
        <w:gridCol w:w="2268"/>
      </w:tblGrid>
      <w:tr>
        <w:tc>
          <w:tcPr>
            <w:tcW w:type="dxa" w:w="2268"/>
          </w:tcPr>
          <w:p>
            <w:r>
              <w:rPr>
                <w:rFonts w:ascii="Times New Roman" w:hAnsi="Times New Roman"/>
                <w:b/>
                <w:sz w:val="22"/>
              </w:rPr>
              <w:t>Category</w:t>
            </w:r>
          </w:p>
        </w:tc>
        <w:tc>
          <w:tcPr>
            <w:tcW w:type="dxa" w:w="2268"/>
          </w:tcPr>
          <w:p>
            <w:r>
              <w:rPr>
                <w:rFonts w:ascii="Times New Roman" w:hAnsi="Times New Roman"/>
                <w:b/>
                <w:sz w:val="22"/>
              </w:rPr>
              <w:t>Threshold (Dec GMV, RM)</w:t>
            </w:r>
          </w:p>
        </w:tc>
        <w:tc>
          <w:tcPr>
            <w:tcW w:type="dxa" w:w="2268"/>
          </w:tcPr>
          <w:p>
            <w:r>
              <w:rPr>
                <w:rFonts w:ascii="Times New Roman" w:hAnsi="Times New Roman"/>
                <w:b/>
                <w:sz w:val="22"/>
              </w:rPr>
              <w:t>Sellers</w:t>
            </w:r>
          </w:p>
        </w:tc>
        <w:tc>
          <w:tcPr>
            <w:tcW w:type="dxa" w:w="2268"/>
          </w:tcPr>
          <w:p>
            <w:r>
              <w:rPr>
                <w:rFonts w:ascii="Times New Roman" w:hAnsi="Times New Roman"/>
                <w:b/>
                <w:sz w:val="22"/>
              </w:rPr>
              <w:t>Share (%)</w:t>
            </w:r>
          </w:p>
        </w:tc>
      </w:tr>
      <w:tr>
        <w:tc>
          <w:tcPr>
            <w:tcW w:type="dxa" w:w="2268"/>
          </w:tcPr>
          <w:p>
            <w:r>
              <w:rPr>
                <w:rFonts w:ascii="Times New Roman" w:hAnsi="Times New Roman"/>
                <w:sz w:val="22"/>
              </w:rPr>
              <w:t>Inactive</w:t>
            </w:r>
          </w:p>
        </w:tc>
        <w:tc>
          <w:tcPr>
            <w:tcW w:type="dxa" w:w="2268"/>
          </w:tcPr>
          <w:p>
            <w:r>
              <w:rPr>
                <w:rFonts w:ascii="Times New Roman" w:hAnsi="Times New Roman"/>
                <w:sz w:val="22"/>
              </w:rPr>
              <w:t>0</w:t>
            </w:r>
          </w:p>
        </w:tc>
        <w:tc>
          <w:tcPr>
            <w:tcW w:type="dxa" w:w="2268"/>
          </w:tcPr>
          <w:p>
            <w:r>
              <w:rPr>
                <w:rFonts w:ascii="Times New Roman" w:hAnsi="Times New Roman"/>
                <w:sz w:val="22"/>
              </w:rPr>
              <w:t>25</w:t>
            </w:r>
          </w:p>
        </w:tc>
        <w:tc>
          <w:tcPr>
            <w:tcW w:type="dxa" w:w="2268"/>
          </w:tcPr>
          <w:p>
            <w:r>
              <w:rPr>
                <w:rFonts w:ascii="Times New Roman" w:hAnsi="Times New Roman"/>
                <w:sz w:val="22"/>
              </w:rPr>
              <w:t>31.3</w:t>
            </w:r>
          </w:p>
        </w:tc>
      </w:tr>
      <w:tr>
        <w:tc>
          <w:tcPr>
            <w:tcW w:type="dxa" w:w="2268"/>
          </w:tcPr>
          <w:p>
            <w:r>
              <w:rPr>
                <w:rFonts w:ascii="Times New Roman" w:hAnsi="Times New Roman"/>
                <w:sz w:val="22"/>
              </w:rPr>
              <w:t>Low-performing</w:t>
            </w:r>
          </w:p>
        </w:tc>
        <w:tc>
          <w:tcPr>
            <w:tcW w:type="dxa" w:w="2268"/>
          </w:tcPr>
          <w:p>
            <w:r>
              <w:rPr>
                <w:rFonts w:ascii="Times New Roman" w:hAnsi="Times New Roman"/>
                <w:sz w:val="22"/>
              </w:rPr>
              <w:t>1 - 1,000</w:t>
            </w:r>
          </w:p>
        </w:tc>
        <w:tc>
          <w:tcPr>
            <w:tcW w:type="dxa" w:w="2268"/>
          </w:tcPr>
          <w:p>
            <w:r>
              <w:rPr>
                <w:rFonts w:ascii="Times New Roman" w:hAnsi="Times New Roman"/>
                <w:sz w:val="22"/>
              </w:rPr>
              <w:t>14</w:t>
            </w:r>
          </w:p>
        </w:tc>
        <w:tc>
          <w:tcPr>
            <w:tcW w:type="dxa" w:w="2268"/>
          </w:tcPr>
          <w:p>
            <w:r>
              <w:rPr>
                <w:rFonts w:ascii="Times New Roman" w:hAnsi="Times New Roman"/>
                <w:sz w:val="22"/>
              </w:rPr>
              <w:t>17.5</w:t>
            </w:r>
          </w:p>
        </w:tc>
      </w:tr>
      <w:tr>
        <w:tc>
          <w:tcPr>
            <w:tcW w:type="dxa" w:w="2268"/>
          </w:tcPr>
          <w:p>
            <w:r>
              <w:rPr>
                <w:rFonts w:ascii="Times New Roman" w:hAnsi="Times New Roman"/>
                <w:sz w:val="22"/>
              </w:rPr>
              <w:t>Moderate-performing</w:t>
            </w:r>
          </w:p>
        </w:tc>
        <w:tc>
          <w:tcPr>
            <w:tcW w:type="dxa" w:w="2268"/>
          </w:tcPr>
          <w:p>
            <w:r>
              <w:rPr>
                <w:rFonts w:ascii="Times New Roman" w:hAnsi="Times New Roman"/>
                <w:sz w:val="22"/>
              </w:rPr>
              <w:t>1,001 - 20,000</w:t>
            </w:r>
          </w:p>
        </w:tc>
        <w:tc>
          <w:tcPr>
            <w:tcW w:type="dxa" w:w="2268"/>
          </w:tcPr>
          <w:p>
            <w:r>
              <w:rPr>
                <w:rFonts w:ascii="Times New Roman" w:hAnsi="Times New Roman"/>
                <w:sz w:val="22"/>
              </w:rPr>
              <w:t>29</w:t>
            </w:r>
          </w:p>
        </w:tc>
        <w:tc>
          <w:tcPr>
            <w:tcW w:type="dxa" w:w="2268"/>
          </w:tcPr>
          <w:p>
            <w:r>
              <w:rPr>
                <w:rFonts w:ascii="Times New Roman" w:hAnsi="Times New Roman"/>
                <w:sz w:val="22"/>
              </w:rPr>
              <w:t>36.3</w:t>
            </w:r>
          </w:p>
        </w:tc>
      </w:tr>
      <w:tr>
        <w:tc>
          <w:tcPr>
            <w:tcW w:type="dxa" w:w="2268"/>
          </w:tcPr>
          <w:p>
            <w:r>
              <w:rPr>
                <w:rFonts w:ascii="Times New Roman" w:hAnsi="Times New Roman"/>
                <w:sz w:val="22"/>
              </w:rPr>
              <w:t>High-performing</w:t>
            </w:r>
          </w:p>
        </w:tc>
        <w:tc>
          <w:tcPr>
            <w:tcW w:type="dxa" w:w="2268"/>
          </w:tcPr>
          <w:p>
            <w:r>
              <w:rPr>
                <w:rFonts w:ascii="Times New Roman" w:hAnsi="Times New Roman"/>
                <w:sz w:val="22"/>
              </w:rPr>
              <w:t>20,001 - 100,000</w:t>
            </w:r>
          </w:p>
        </w:tc>
        <w:tc>
          <w:tcPr>
            <w:tcW w:type="dxa" w:w="2268"/>
          </w:tcPr>
          <w:p>
            <w:r>
              <w:rPr>
                <w:rFonts w:ascii="Times New Roman" w:hAnsi="Times New Roman"/>
                <w:sz w:val="22"/>
              </w:rPr>
              <w:t>8</w:t>
            </w:r>
          </w:p>
        </w:tc>
        <w:tc>
          <w:tcPr>
            <w:tcW w:type="dxa" w:w="2268"/>
          </w:tcPr>
          <w:p>
            <w:r>
              <w:rPr>
                <w:rFonts w:ascii="Times New Roman" w:hAnsi="Times New Roman"/>
                <w:sz w:val="22"/>
              </w:rPr>
              <w:t>10.0</w:t>
            </w:r>
          </w:p>
        </w:tc>
      </w:tr>
      <w:tr>
        <w:tc>
          <w:tcPr>
            <w:tcW w:type="dxa" w:w="2268"/>
          </w:tcPr>
          <w:p>
            <w:r>
              <w:rPr>
                <w:rFonts w:ascii="Times New Roman" w:hAnsi="Times New Roman"/>
                <w:sz w:val="22"/>
              </w:rPr>
              <w:t>Exceptional-performing</w:t>
            </w:r>
          </w:p>
        </w:tc>
        <w:tc>
          <w:tcPr>
            <w:tcW w:type="dxa" w:w="2268"/>
          </w:tcPr>
          <w:p>
            <w:r>
              <w:rPr>
                <w:rFonts w:ascii="Times New Roman" w:hAnsi="Times New Roman"/>
                <w:sz w:val="22"/>
              </w:rPr>
              <w:t>&gt; 100,000</w:t>
            </w:r>
          </w:p>
        </w:tc>
        <w:tc>
          <w:tcPr>
            <w:tcW w:type="dxa" w:w="2268"/>
          </w:tcPr>
          <w:p>
            <w:r>
              <w:rPr>
                <w:rFonts w:ascii="Times New Roman" w:hAnsi="Times New Roman"/>
                <w:sz w:val="22"/>
              </w:rPr>
              <w:t>4</w:t>
            </w:r>
          </w:p>
        </w:tc>
        <w:tc>
          <w:tcPr>
            <w:tcW w:type="dxa" w:w="2268"/>
          </w:tcPr>
          <w:p>
            <w:r>
              <w:rPr>
                <w:rFonts w:ascii="Times New Roman" w:hAnsi="Times New Roman"/>
                <w:sz w:val="22"/>
              </w:rPr>
              <w:t>5.0</w:t>
            </w:r>
          </w:p>
        </w:tc>
      </w:tr>
      <w:tr>
        <w:tc>
          <w:tcPr>
            <w:tcW w:type="dxa" w:w="2268"/>
          </w:tcPr>
          <w:p>
            <w:r>
              <w:rPr>
                <w:rFonts w:ascii="Times New Roman" w:hAnsi="Times New Roman"/>
                <w:sz w:val="22"/>
              </w:rPr>
              <w:t>Total</w:t>
            </w:r>
          </w:p>
        </w:tc>
        <w:tc>
          <w:tcPr>
            <w:tcW w:type="dxa" w:w="2268"/>
          </w:tcPr>
          <w:p>
            <w:r>
              <w:rPr>
                <w:rFonts w:ascii="Times New Roman" w:hAnsi="Times New Roman"/>
                <w:sz w:val="22"/>
              </w:rPr>
            </w:r>
          </w:p>
        </w:tc>
        <w:tc>
          <w:tcPr>
            <w:tcW w:type="dxa" w:w="2268"/>
          </w:tcPr>
          <w:p>
            <w:r>
              <w:rPr>
                <w:rFonts w:ascii="Times New Roman" w:hAnsi="Times New Roman"/>
                <w:sz w:val="22"/>
              </w:rPr>
              <w:t>80</w:t>
            </w:r>
          </w:p>
        </w:tc>
        <w:tc>
          <w:tcPr>
            <w:tcW w:type="dxa" w:w="2268"/>
          </w:tcPr>
          <w:p>
            <w:r>
              <w:rPr>
                <w:rFonts w:ascii="Times New Roman" w:hAnsi="Times New Roman"/>
                <w:sz w:val="22"/>
              </w:rPr>
              <w:t>100.0</w:t>
            </w:r>
          </w:p>
        </w:tc>
      </w:tr>
    </w:tbl>
    <w:p>
      <w:r>
        <w:rPr>
          <w:b w:val="0"/>
          <w:i/>
          <w:sz w:val="20"/>
        </w:rPr>
        <w:t>Thresholds are statistically justified by the median (RM1,284.50) and the 80th/95th percentiles of the active-seller distribution; author calculation.</w:t>
      </w:r>
    </w:p>
    <w:p/>
    <w:p>
      <w:pPr>
        <w:pStyle w:val="Heading2"/>
      </w:pPr>
      <w:r>
        <w:rPr>
          <w:rFonts w:ascii="Times New Roman" w:hAnsi="Times New Roman"/>
          <w:b/>
          <w:sz w:val="24"/>
        </w:rPr>
        <w:t>4.3 Concentration of GMV</w:t>
      </w:r>
    </w:p>
    <w:p>
      <w:r>
        <w:rPr>
          <w:b w:val="0"/>
          <w:i w:val="0"/>
        </w:rPr>
        <w:t>Table 4 reports the concentration measures. The top 1 seller captured 11.1 per cent of December GMV, the top 5 sellers 34.6 per cent, and the top 10 sellers 52.4 per cent, while the bottom half of sellers captured just 3.1 per cent. The Gini coefficient computed on the full 80-seller distribution is approximately 0.71, a level characteristic of very high inequality. Figure 2 presents the corresponding Lorenz curve. Figure 3 shows the monthly trajectory: GMV accelerated strongly from RM497,762.95 in June to RM1,705,942.05 in December.</w:t>
      </w:r>
    </w:p>
    <w:p>
      <w:r>
        <w:rPr>
          <w:b/>
          <w:i w:val="0"/>
        </w:rPr>
        <w:t>Table 4: GMV Concentration Ratios (December 2024)</w:t>
      </w:r>
    </w:p>
    <w:tbl>
      <w:tblPr>
        <w:tblStyle w:val="TableGrid"/>
        <w:tblW w:type="auto" w:w="0"/>
        <w:jc w:val="center"/>
        <w:tblLook w:firstColumn="1" w:firstRow="1" w:lastColumn="0" w:lastRow="0" w:noHBand="0" w:noVBand="1" w:val="04A0"/>
      </w:tblPr>
      <w:tblGrid>
        <w:gridCol w:w="4536"/>
        <w:gridCol w:w="4536"/>
      </w:tblGrid>
      <w:tr>
        <w:tc>
          <w:tcPr>
            <w:tcW w:type="dxa" w:w="4536"/>
          </w:tcPr>
          <w:p>
            <w:r>
              <w:rPr>
                <w:rFonts w:ascii="Times New Roman" w:hAnsi="Times New Roman"/>
                <w:b/>
                <w:sz w:val="22"/>
              </w:rPr>
              <w:t>Concentration measure</w:t>
            </w:r>
          </w:p>
        </w:tc>
        <w:tc>
          <w:tcPr>
            <w:tcW w:type="dxa" w:w="4536"/>
          </w:tcPr>
          <w:p>
            <w:r>
              <w:rPr>
                <w:rFonts w:ascii="Times New Roman" w:hAnsi="Times New Roman"/>
                <w:b/>
                <w:sz w:val="22"/>
              </w:rPr>
              <w:t>Share of total GMV (%)</w:t>
            </w:r>
          </w:p>
        </w:tc>
      </w:tr>
      <w:tr>
        <w:tc>
          <w:tcPr>
            <w:tcW w:type="dxa" w:w="4536"/>
          </w:tcPr>
          <w:p>
            <w:r>
              <w:rPr>
                <w:rFonts w:ascii="Times New Roman" w:hAnsi="Times New Roman"/>
                <w:sz w:val="22"/>
              </w:rPr>
              <w:t>Top 1 seller</w:t>
            </w:r>
          </w:p>
        </w:tc>
        <w:tc>
          <w:tcPr>
            <w:tcW w:type="dxa" w:w="4536"/>
          </w:tcPr>
          <w:p>
            <w:r>
              <w:rPr>
                <w:rFonts w:ascii="Times New Roman" w:hAnsi="Times New Roman"/>
                <w:sz w:val="22"/>
              </w:rPr>
              <w:t>11.1</w:t>
            </w:r>
          </w:p>
        </w:tc>
      </w:tr>
      <w:tr>
        <w:tc>
          <w:tcPr>
            <w:tcW w:type="dxa" w:w="4536"/>
          </w:tcPr>
          <w:p>
            <w:r>
              <w:rPr>
                <w:rFonts w:ascii="Times New Roman" w:hAnsi="Times New Roman"/>
                <w:sz w:val="22"/>
              </w:rPr>
              <w:t>Top 5 sellers</w:t>
            </w:r>
          </w:p>
        </w:tc>
        <w:tc>
          <w:tcPr>
            <w:tcW w:type="dxa" w:w="4536"/>
          </w:tcPr>
          <w:p>
            <w:r>
              <w:rPr>
                <w:rFonts w:ascii="Times New Roman" w:hAnsi="Times New Roman"/>
                <w:sz w:val="22"/>
              </w:rPr>
              <w:t>34.6</w:t>
            </w:r>
          </w:p>
        </w:tc>
      </w:tr>
      <w:tr>
        <w:tc>
          <w:tcPr>
            <w:tcW w:type="dxa" w:w="4536"/>
          </w:tcPr>
          <w:p>
            <w:r>
              <w:rPr>
                <w:rFonts w:ascii="Times New Roman" w:hAnsi="Times New Roman"/>
                <w:sz w:val="22"/>
              </w:rPr>
              <w:t>Top 10 sellers</w:t>
            </w:r>
          </w:p>
        </w:tc>
        <w:tc>
          <w:tcPr>
            <w:tcW w:type="dxa" w:w="4536"/>
          </w:tcPr>
          <w:p>
            <w:r>
              <w:rPr>
                <w:rFonts w:ascii="Times New Roman" w:hAnsi="Times New Roman"/>
                <w:sz w:val="22"/>
              </w:rPr>
              <w:t>52.4</w:t>
            </w:r>
          </w:p>
        </w:tc>
      </w:tr>
      <w:tr>
        <w:tc>
          <w:tcPr>
            <w:tcW w:type="dxa" w:w="4536"/>
          </w:tcPr>
          <w:p>
            <w:r>
              <w:rPr>
                <w:rFonts w:ascii="Times New Roman" w:hAnsi="Times New Roman"/>
                <w:sz w:val="22"/>
              </w:rPr>
              <w:t>Bottom 50% of sellers</w:t>
            </w:r>
          </w:p>
        </w:tc>
        <w:tc>
          <w:tcPr>
            <w:tcW w:type="dxa" w:w="4536"/>
          </w:tcPr>
          <w:p>
            <w:r>
              <w:rPr>
                <w:rFonts w:ascii="Times New Roman" w:hAnsi="Times New Roman"/>
                <w:sz w:val="22"/>
              </w:rPr>
              <w:t>3.1</w:t>
            </w:r>
          </w:p>
        </w:tc>
      </w:tr>
      <w:tr>
        <w:tc>
          <w:tcPr>
            <w:tcW w:type="dxa" w:w="4536"/>
          </w:tcPr>
          <w:p>
            <w:r>
              <w:rPr>
                <w:rFonts w:ascii="Times New Roman" w:hAnsi="Times New Roman"/>
                <w:sz w:val="22"/>
              </w:rPr>
              <w:t>Gini coefficient (seller GMV)</w:t>
            </w:r>
          </w:p>
        </w:tc>
        <w:tc>
          <w:tcPr>
            <w:tcW w:type="dxa" w:w="4536"/>
          </w:tcPr>
          <w:p>
            <w:r>
              <w:rPr>
                <w:rFonts w:ascii="Times New Roman" w:hAnsi="Times New Roman"/>
                <w:sz w:val="22"/>
              </w:rPr>
              <w:t>0.71</w:t>
            </w:r>
          </w:p>
        </w:tc>
      </w:tr>
    </w:tbl>
    <w:p>
      <w:r>
        <w:rPr>
          <w:b w:val="0"/>
          <w:i/>
          <w:sz w:val="20"/>
        </w:rPr>
        <w:t>Total December GMV = RM1,705,942.05. Gini estimated from the full 80-seller distribution including 25 zero-GMV sellers; author calculation.</w:t>
      </w:r>
    </w:p>
    <w:p/>
    <w:p>
      <w:pPr>
        <w:pStyle w:val="Heading2"/>
      </w:pPr>
      <w:r>
        <w:rPr>
          <w:rFonts w:ascii="Times New Roman" w:hAnsi="Times New Roman"/>
          <w:b/>
          <w:sz w:val="24"/>
        </w:rPr>
        <w:t>4.4 Sales-channel composition</w:t>
      </w:r>
    </w:p>
    <w:p>
      <w:r>
        <w:rPr>
          <w:b w:val="0"/>
          <w:i w:val="0"/>
        </w:rPr>
        <w:t>Table 5 reports monthly totals, channel values and order counts. Short video and livestream dominated throughout: across the programme, short video contributed 44.6 per cent and livestream 35.4 per cent of cumulative GMV, together 80.0 per cent, while the shop tab and profile/window contributed 17.9 per cent and 2.0 per cent respectively. Orders grew from 3,271 in June to 14,571 in December. These channel results are descriptive; because channel values are components of the total, their correlation with the total is mechanical and is reported only as exploratory evidence.</w:t>
      </w:r>
    </w:p>
    <w:p>
      <w:r>
        <w:rPr>
          <w:b/>
          <w:i w:val="0"/>
        </w:rPr>
        <w:t>Table 5: Sales Composition by TikTok Shop Channel</w:t>
      </w:r>
    </w:p>
    <w:tbl>
      <w:tblPr>
        <w:tblStyle w:val="TableGrid"/>
        <w:tblW w:type="auto" w:w="0"/>
        <w:jc w:val="center"/>
        <w:tblLook w:firstColumn="1" w:firstRow="1" w:lastColumn="0" w:lastRow="0" w:noHBand="0" w:noVBand="1" w:val="04A0"/>
      </w:tblPr>
      <w:tblGrid>
        <w:gridCol w:w="3024"/>
        <w:gridCol w:w="3024"/>
        <w:gridCol w:w="3024"/>
      </w:tblGrid>
      <w:tr>
        <w:tc>
          <w:tcPr>
            <w:tcW w:type="dxa" w:w="3024"/>
          </w:tcPr>
          <w:p>
            <w:r>
              <w:rPr>
                <w:rFonts w:ascii="Times New Roman" w:hAnsi="Times New Roman"/>
                <w:b/>
                <w:sz w:val="22"/>
              </w:rPr>
              <w:t>Channel</w:t>
            </w:r>
          </w:p>
        </w:tc>
        <w:tc>
          <w:tcPr>
            <w:tcW w:type="dxa" w:w="3024"/>
          </w:tcPr>
          <w:p>
            <w:r>
              <w:rPr>
                <w:rFonts w:ascii="Times New Roman" w:hAnsi="Times New Roman"/>
                <w:b/>
                <w:sz w:val="22"/>
              </w:rPr>
              <w:t>June-Dec Sales (RM)</w:t>
            </w:r>
          </w:p>
        </w:tc>
        <w:tc>
          <w:tcPr>
            <w:tcW w:type="dxa" w:w="3024"/>
          </w:tcPr>
          <w:p>
            <w:r>
              <w:rPr>
                <w:rFonts w:ascii="Times New Roman" w:hAnsi="Times New Roman"/>
                <w:b/>
                <w:sz w:val="22"/>
              </w:rPr>
              <w:t>Share of Total (%)</w:t>
            </w:r>
          </w:p>
        </w:tc>
      </w:tr>
      <w:tr>
        <w:tc>
          <w:tcPr>
            <w:tcW w:type="dxa" w:w="3024"/>
          </w:tcPr>
          <w:p>
            <w:r>
              <w:rPr>
                <w:rFonts w:ascii="Times New Roman" w:hAnsi="Times New Roman"/>
                <w:sz w:val="22"/>
              </w:rPr>
              <w:t>Short Video</w:t>
            </w:r>
          </w:p>
        </w:tc>
        <w:tc>
          <w:tcPr>
            <w:tcW w:type="dxa" w:w="3024"/>
          </w:tcPr>
          <w:p>
            <w:r>
              <w:rPr>
                <w:rFonts w:ascii="Times New Roman" w:hAnsi="Times New Roman"/>
                <w:sz w:val="22"/>
              </w:rPr>
              <w:t>2,766,229.44</w:t>
            </w:r>
          </w:p>
        </w:tc>
        <w:tc>
          <w:tcPr>
            <w:tcW w:type="dxa" w:w="3024"/>
          </w:tcPr>
          <w:p>
            <w:r>
              <w:rPr>
                <w:rFonts w:ascii="Times New Roman" w:hAnsi="Times New Roman"/>
                <w:sz w:val="22"/>
              </w:rPr>
              <w:t>44.6</w:t>
            </w:r>
          </w:p>
        </w:tc>
      </w:tr>
      <w:tr>
        <w:tc>
          <w:tcPr>
            <w:tcW w:type="dxa" w:w="3024"/>
          </w:tcPr>
          <w:p>
            <w:r>
              <w:rPr>
                <w:rFonts w:ascii="Times New Roman" w:hAnsi="Times New Roman"/>
                <w:sz w:val="22"/>
              </w:rPr>
              <w:t>Livestream</w:t>
            </w:r>
          </w:p>
        </w:tc>
        <w:tc>
          <w:tcPr>
            <w:tcW w:type="dxa" w:w="3024"/>
          </w:tcPr>
          <w:p>
            <w:r>
              <w:rPr>
                <w:rFonts w:ascii="Times New Roman" w:hAnsi="Times New Roman"/>
                <w:sz w:val="22"/>
              </w:rPr>
              <w:t>2,199,951.99</w:t>
            </w:r>
          </w:p>
        </w:tc>
        <w:tc>
          <w:tcPr>
            <w:tcW w:type="dxa" w:w="3024"/>
          </w:tcPr>
          <w:p>
            <w:r>
              <w:rPr>
                <w:rFonts w:ascii="Times New Roman" w:hAnsi="Times New Roman"/>
                <w:sz w:val="22"/>
              </w:rPr>
              <w:t>35.4</w:t>
            </w:r>
          </w:p>
        </w:tc>
      </w:tr>
      <w:tr>
        <w:tc>
          <w:tcPr>
            <w:tcW w:type="dxa" w:w="3024"/>
          </w:tcPr>
          <w:p>
            <w:r>
              <w:rPr>
                <w:rFonts w:ascii="Times New Roman" w:hAnsi="Times New Roman"/>
                <w:sz w:val="22"/>
              </w:rPr>
              <w:t>Others / Shop Tab</w:t>
            </w:r>
          </w:p>
        </w:tc>
        <w:tc>
          <w:tcPr>
            <w:tcW w:type="dxa" w:w="3024"/>
          </w:tcPr>
          <w:p>
            <w:r>
              <w:rPr>
                <w:rFonts w:ascii="Times New Roman" w:hAnsi="Times New Roman"/>
                <w:sz w:val="22"/>
              </w:rPr>
              <w:t>1,112,755.54</w:t>
            </w:r>
          </w:p>
        </w:tc>
        <w:tc>
          <w:tcPr>
            <w:tcW w:type="dxa" w:w="3024"/>
          </w:tcPr>
          <w:p>
            <w:r>
              <w:rPr>
                <w:rFonts w:ascii="Times New Roman" w:hAnsi="Times New Roman"/>
                <w:sz w:val="22"/>
              </w:rPr>
              <w:t>17.9</w:t>
            </w:r>
          </w:p>
        </w:tc>
      </w:tr>
      <w:tr>
        <w:tc>
          <w:tcPr>
            <w:tcW w:type="dxa" w:w="3024"/>
          </w:tcPr>
          <w:p>
            <w:r>
              <w:rPr>
                <w:rFonts w:ascii="Times New Roman" w:hAnsi="Times New Roman"/>
                <w:sz w:val="22"/>
              </w:rPr>
              <w:t>Window / Profile</w:t>
            </w:r>
          </w:p>
        </w:tc>
        <w:tc>
          <w:tcPr>
            <w:tcW w:type="dxa" w:w="3024"/>
          </w:tcPr>
          <w:p>
            <w:r>
              <w:rPr>
                <w:rFonts w:ascii="Times New Roman" w:hAnsi="Times New Roman"/>
                <w:sz w:val="22"/>
              </w:rPr>
              <w:t>127,020.07</w:t>
            </w:r>
          </w:p>
        </w:tc>
        <w:tc>
          <w:tcPr>
            <w:tcW w:type="dxa" w:w="3024"/>
          </w:tcPr>
          <w:p>
            <w:r>
              <w:rPr>
                <w:rFonts w:ascii="Times New Roman" w:hAnsi="Times New Roman"/>
                <w:sz w:val="22"/>
              </w:rPr>
              <w:t>2.0</w:t>
            </w:r>
          </w:p>
        </w:tc>
      </w:tr>
      <w:tr>
        <w:tc>
          <w:tcPr>
            <w:tcW w:type="dxa" w:w="3024"/>
          </w:tcPr>
          <w:p>
            <w:r>
              <w:rPr>
                <w:rFonts w:ascii="Times New Roman" w:hAnsi="Times New Roman"/>
                <w:sz w:val="22"/>
              </w:rPr>
              <w:t>Total</w:t>
            </w:r>
          </w:p>
        </w:tc>
        <w:tc>
          <w:tcPr>
            <w:tcW w:type="dxa" w:w="3024"/>
          </w:tcPr>
          <w:p>
            <w:r>
              <w:rPr>
                <w:rFonts w:ascii="Times New Roman" w:hAnsi="Times New Roman"/>
                <w:sz w:val="22"/>
              </w:rPr>
              <w:t>6,205,957.06</w:t>
            </w:r>
          </w:p>
        </w:tc>
        <w:tc>
          <w:tcPr>
            <w:tcW w:type="dxa" w:w="3024"/>
          </w:tcPr>
          <w:p>
            <w:r>
              <w:rPr>
                <w:rFonts w:ascii="Times New Roman" w:hAnsi="Times New Roman"/>
                <w:sz w:val="22"/>
              </w:rPr>
              <w:t>100.0</w:t>
            </w:r>
          </w:p>
        </w:tc>
      </w:tr>
    </w:tbl>
    <w:p>
      <w:r>
        <w:rPr>
          <w:b w:val="0"/>
          <w:i/>
          <w:sz w:val="20"/>
        </w:rPr>
        <w:t>Source: Projek Perintis Report (December 2024), Summary sheet. Corrected AMTTSE channel shares.</w:t>
      </w:r>
    </w:p>
    <w:p/>
    <w:p>
      <w:pPr>
        <w:pStyle w:val="Heading2"/>
      </w:pPr>
      <w:r>
        <w:rPr>
          <w:rFonts w:ascii="Times New Roman" w:hAnsi="Times New Roman"/>
          <w:b/>
          <w:sz w:val="24"/>
        </w:rPr>
        <w:t>4.5 Additional statistical analysis</w:t>
      </w:r>
    </w:p>
    <w:p>
      <w:r>
        <w:rPr>
          <w:b w:val="0"/>
          <w:i w:val="0"/>
        </w:rPr>
        <w:t>Table 6 reports Mann-Whitney U comparisons of December GMV across four subgroup contrasts. No contrast reached significance at alpha = 0.05: Batch 1 versus Batch 2 (p = 0.612), fresh versus processed (p = 0.284), PWD-owned versus non-PWD (p = 0.471) and SOF versus non-SOF (p = 0.733). The absence of a batch effect suggests that the timing of training mattered less than the seller's own conversion capacity; the absence of a PWD penalty is notable and encouraging. The dominant separator of performance was therefore seller-level conversion capability, not programme placement or group membership.</w:t>
      </w:r>
    </w:p>
    <w:p>
      <w:r>
        <w:rPr>
          <w:b/>
          <w:i w:val="0"/>
        </w:rPr>
        <w:t>Table 6: Subgroup Comparison of December GMV</w:t>
      </w:r>
    </w:p>
    <w:tbl>
      <w:tblPr>
        <w:tblStyle w:val="TableGrid"/>
        <w:tblW w:type="auto" w:w="0"/>
        <w:jc w:val="center"/>
        <w:tblLook w:firstColumn="1" w:firstRow="1" w:lastColumn="0" w:lastRow="0" w:noHBand="0" w:noVBand="1" w:val="04A0"/>
      </w:tblPr>
      <w:tblGrid>
        <w:gridCol w:w="1814"/>
        <w:gridCol w:w="1814"/>
        <w:gridCol w:w="1814"/>
        <w:gridCol w:w="1814"/>
        <w:gridCol w:w="1814"/>
      </w:tblGrid>
      <w:tr>
        <w:tc>
          <w:tcPr>
            <w:tcW w:type="dxa" w:w="1814"/>
          </w:tcPr>
          <w:p>
            <w:r>
              <w:rPr>
                <w:rFonts w:ascii="Times New Roman" w:hAnsi="Times New Roman"/>
                <w:b/>
                <w:sz w:val="22"/>
              </w:rPr>
              <w:t>Subgroup contrast</w:t>
            </w:r>
          </w:p>
        </w:tc>
        <w:tc>
          <w:tcPr>
            <w:tcW w:type="dxa" w:w="1814"/>
          </w:tcPr>
          <w:p>
            <w:r>
              <w:rPr>
                <w:rFonts w:ascii="Times New Roman" w:hAnsi="Times New Roman"/>
                <w:b/>
                <w:sz w:val="22"/>
              </w:rPr>
              <w:t>Median GMV (RM)</w:t>
            </w:r>
          </w:p>
        </w:tc>
        <w:tc>
          <w:tcPr>
            <w:tcW w:type="dxa" w:w="1814"/>
          </w:tcPr>
          <w:p>
            <w:r>
              <w:rPr>
                <w:rFonts w:ascii="Times New Roman" w:hAnsi="Times New Roman"/>
                <w:b/>
                <w:sz w:val="22"/>
              </w:rPr>
              <w:t>Test</w:t>
            </w:r>
          </w:p>
        </w:tc>
        <w:tc>
          <w:tcPr>
            <w:tcW w:type="dxa" w:w="1814"/>
          </w:tcPr>
          <w:p>
            <w:r>
              <w:rPr>
                <w:rFonts w:ascii="Times New Roman" w:hAnsi="Times New Roman"/>
                <w:b/>
                <w:sz w:val="22"/>
              </w:rPr>
              <w:t>p-value</w:t>
            </w:r>
          </w:p>
        </w:tc>
        <w:tc>
          <w:tcPr>
            <w:tcW w:type="dxa" w:w="1814"/>
          </w:tcPr>
          <w:p>
            <w:r>
              <w:rPr>
                <w:rFonts w:ascii="Times New Roman" w:hAnsi="Times New Roman"/>
                <w:b/>
                <w:sz w:val="22"/>
              </w:rPr>
              <w:t>Sig.</w:t>
            </w:r>
          </w:p>
        </w:tc>
      </w:tr>
      <w:tr>
        <w:tc>
          <w:tcPr>
            <w:tcW w:type="dxa" w:w="1814"/>
          </w:tcPr>
          <w:p>
            <w:r>
              <w:rPr>
                <w:rFonts w:ascii="Times New Roman" w:hAnsi="Times New Roman"/>
                <w:sz w:val="22"/>
              </w:rPr>
              <w:t>Batch 1 vs Batch 2</w:t>
            </w:r>
          </w:p>
        </w:tc>
        <w:tc>
          <w:tcPr>
            <w:tcW w:type="dxa" w:w="1814"/>
          </w:tcPr>
          <w:p>
            <w:r>
              <w:rPr>
                <w:rFonts w:ascii="Times New Roman" w:hAnsi="Times New Roman"/>
                <w:sz w:val="22"/>
              </w:rPr>
              <w:t>1,310.20 vs 1,198.40</w:t>
            </w:r>
          </w:p>
        </w:tc>
        <w:tc>
          <w:tcPr>
            <w:tcW w:type="dxa" w:w="1814"/>
          </w:tcPr>
          <w:p>
            <w:r>
              <w:rPr>
                <w:rFonts w:ascii="Times New Roman" w:hAnsi="Times New Roman"/>
                <w:sz w:val="22"/>
              </w:rPr>
              <w:t>Mann-Whitney U</w:t>
            </w:r>
          </w:p>
        </w:tc>
        <w:tc>
          <w:tcPr>
            <w:tcW w:type="dxa" w:w="1814"/>
          </w:tcPr>
          <w:p>
            <w:r>
              <w:rPr>
                <w:rFonts w:ascii="Times New Roman" w:hAnsi="Times New Roman"/>
                <w:sz w:val="22"/>
              </w:rPr>
              <w:t>0.612</w:t>
            </w:r>
          </w:p>
        </w:tc>
        <w:tc>
          <w:tcPr>
            <w:tcW w:type="dxa" w:w="1814"/>
          </w:tcPr>
          <w:p>
            <w:r>
              <w:rPr>
                <w:rFonts w:ascii="Times New Roman" w:hAnsi="Times New Roman"/>
                <w:sz w:val="22"/>
              </w:rPr>
              <w:t>ns</w:t>
            </w:r>
          </w:p>
        </w:tc>
      </w:tr>
      <w:tr>
        <w:tc>
          <w:tcPr>
            <w:tcW w:type="dxa" w:w="1814"/>
          </w:tcPr>
          <w:p>
            <w:r>
              <w:rPr>
                <w:rFonts w:ascii="Times New Roman" w:hAnsi="Times New Roman"/>
                <w:sz w:val="22"/>
              </w:rPr>
              <w:t>Fresh vs Processed</w:t>
            </w:r>
          </w:p>
        </w:tc>
        <w:tc>
          <w:tcPr>
            <w:tcW w:type="dxa" w:w="1814"/>
          </w:tcPr>
          <w:p>
            <w:r>
              <w:rPr>
                <w:rFonts w:ascii="Times New Roman" w:hAnsi="Times New Roman"/>
                <w:sz w:val="22"/>
              </w:rPr>
              <w:t>980.10 vs 1,412.80</w:t>
            </w:r>
          </w:p>
        </w:tc>
        <w:tc>
          <w:tcPr>
            <w:tcW w:type="dxa" w:w="1814"/>
          </w:tcPr>
          <w:p>
            <w:r>
              <w:rPr>
                <w:rFonts w:ascii="Times New Roman" w:hAnsi="Times New Roman"/>
                <w:sz w:val="22"/>
              </w:rPr>
              <w:t>Mann-Whitney U</w:t>
            </w:r>
          </w:p>
        </w:tc>
        <w:tc>
          <w:tcPr>
            <w:tcW w:type="dxa" w:w="1814"/>
          </w:tcPr>
          <w:p>
            <w:r>
              <w:rPr>
                <w:rFonts w:ascii="Times New Roman" w:hAnsi="Times New Roman"/>
                <w:sz w:val="22"/>
              </w:rPr>
              <w:t>0.284</w:t>
            </w:r>
          </w:p>
        </w:tc>
        <w:tc>
          <w:tcPr>
            <w:tcW w:type="dxa" w:w="1814"/>
          </w:tcPr>
          <w:p>
            <w:r>
              <w:rPr>
                <w:rFonts w:ascii="Times New Roman" w:hAnsi="Times New Roman"/>
                <w:sz w:val="22"/>
              </w:rPr>
              <w:t>ns</w:t>
            </w:r>
          </w:p>
        </w:tc>
      </w:tr>
      <w:tr>
        <w:tc>
          <w:tcPr>
            <w:tcW w:type="dxa" w:w="1814"/>
          </w:tcPr>
          <w:p>
            <w:r>
              <w:rPr>
                <w:rFonts w:ascii="Times New Roman" w:hAnsi="Times New Roman"/>
                <w:sz w:val="22"/>
              </w:rPr>
              <w:t>PWD-owned vs Non-PWD</w:t>
            </w:r>
          </w:p>
        </w:tc>
        <w:tc>
          <w:tcPr>
            <w:tcW w:type="dxa" w:w="1814"/>
          </w:tcPr>
          <w:p>
            <w:r>
              <w:rPr>
                <w:rFonts w:ascii="Times New Roman" w:hAnsi="Times New Roman"/>
                <w:sz w:val="22"/>
              </w:rPr>
              <w:t>1,540.60 vs 1,260.30</w:t>
            </w:r>
          </w:p>
        </w:tc>
        <w:tc>
          <w:tcPr>
            <w:tcW w:type="dxa" w:w="1814"/>
          </w:tcPr>
          <w:p>
            <w:r>
              <w:rPr>
                <w:rFonts w:ascii="Times New Roman" w:hAnsi="Times New Roman"/>
                <w:sz w:val="22"/>
              </w:rPr>
              <w:t>Mann-Whitney U</w:t>
            </w:r>
          </w:p>
        </w:tc>
        <w:tc>
          <w:tcPr>
            <w:tcW w:type="dxa" w:w="1814"/>
          </w:tcPr>
          <w:p>
            <w:r>
              <w:rPr>
                <w:rFonts w:ascii="Times New Roman" w:hAnsi="Times New Roman"/>
                <w:sz w:val="22"/>
              </w:rPr>
              <w:t>0.471</w:t>
            </w:r>
          </w:p>
        </w:tc>
        <w:tc>
          <w:tcPr>
            <w:tcW w:type="dxa" w:w="1814"/>
          </w:tcPr>
          <w:p>
            <w:r>
              <w:rPr>
                <w:rFonts w:ascii="Times New Roman" w:hAnsi="Times New Roman"/>
                <w:sz w:val="22"/>
              </w:rPr>
              <w:t>ns</w:t>
            </w:r>
          </w:p>
        </w:tc>
      </w:tr>
      <w:tr>
        <w:tc>
          <w:tcPr>
            <w:tcW w:type="dxa" w:w="1814"/>
          </w:tcPr>
          <w:p>
            <w:r>
              <w:rPr>
                <w:rFonts w:ascii="Times New Roman" w:hAnsi="Times New Roman"/>
                <w:sz w:val="22"/>
              </w:rPr>
              <w:t>SOF vs Non-SOF</w:t>
            </w:r>
          </w:p>
        </w:tc>
        <w:tc>
          <w:tcPr>
            <w:tcW w:type="dxa" w:w="1814"/>
          </w:tcPr>
          <w:p>
            <w:r>
              <w:rPr>
                <w:rFonts w:ascii="Times New Roman" w:hAnsi="Times New Roman"/>
                <w:sz w:val="22"/>
              </w:rPr>
              <w:t>1,205.40 vs 1,295.10</w:t>
            </w:r>
          </w:p>
        </w:tc>
        <w:tc>
          <w:tcPr>
            <w:tcW w:type="dxa" w:w="1814"/>
          </w:tcPr>
          <w:p>
            <w:r>
              <w:rPr>
                <w:rFonts w:ascii="Times New Roman" w:hAnsi="Times New Roman"/>
                <w:sz w:val="22"/>
              </w:rPr>
              <w:t>Mann-Whitney U</w:t>
            </w:r>
          </w:p>
        </w:tc>
        <w:tc>
          <w:tcPr>
            <w:tcW w:type="dxa" w:w="1814"/>
          </w:tcPr>
          <w:p>
            <w:r>
              <w:rPr>
                <w:rFonts w:ascii="Times New Roman" w:hAnsi="Times New Roman"/>
                <w:sz w:val="22"/>
              </w:rPr>
              <w:t>0.733</w:t>
            </w:r>
          </w:p>
        </w:tc>
        <w:tc>
          <w:tcPr>
            <w:tcW w:type="dxa" w:w="1814"/>
          </w:tcPr>
          <w:p>
            <w:r>
              <w:rPr>
                <w:rFonts w:ascii="Times New Roman" w:hAnsi="Times New Roman"/>
                <w:sz w:val="22"/>
              </w:rPr>
              <w:t>ns</w:t>
            </w:r>
          </w:p>
        </w:tc>
      </w:tr>
    </w:tbl>
    <w:p>
      <w:r>
        <w:rPr>
          <w:b w:val="0"/>
          <w:i/>
          <w:sz w:val="20"/>
        </w:rPr>
        <w:t>No subgroup contrast reached significance at alpha = 0.05; the dominant separator of performance was seller-level conversion capability, not programme batch or product category. Author calculation.</w:t>
      </w:r>
    </w:p>
    <w:p/>
    <w:p>
      <w:pPr>
        <w:pStyle w:val="Heading2"/>
      </w:pPr>
      <w:r>
        <w:rPr>
          <w:rFonts w:ascii="Times New Roman" w:hAnsi="Times New Roman"/>
          <w:b/>
          <w:sz w:val="24"/>
        </w:rPr>
        <w:t>4.6 Sensitivity analysis</w:t>
      </w:r>
    </w:p>
    <w:p>
      <w:r>
        <w:rPr>
          <w:b w:val="0"/>
          <w:i w:val="0"/>
        </w:rPr>
        <w:t>Table 7 tests the fragility of the aggregate picture. Excluding the top 1 seller retains 88.9 per cent of December GMV; excluding the top 5 retains 65.4 per cent; and excluding the top 10 retains only 47.6 per cent while reducing active sellers from 55 to 45. Removing the top 10 sellers removes more than half of December GMV, confirming that programme-level success was carried by a small exceptional group rather than by broad-based activation.</w:t>
      </w:r>
    </w:p>
    <w:p>
      <w:r>
        <w:rPr>
          <w:b/>
          <w:i w:val="0"/>
        </w:rPr>
        <w:t>Table 7: Sensitivity Analysis Excluding Leading Sellers</w:t>
      </w:r>
    </w:p>
    <w:tbl>
      <w:tblPr>
        <w:tblStyle w:val="TableGrid"/>
        <w:tblW w:type="auto" w:w="0"/>
        <w:jc w:val="center"/>
        <w:tblLook w:firstColumn="1" w:firstRow="1" w:lastColumn="0" w:lastRow="0" w:noHBand="0" w:noVBand="1" w:val="04A0"/>
      </w:tblPr>
      <w:tblGrid>
        <w:gridCol w:w="2268"/>
        <w:gridCol w:w="2268"/>
        <w:gridCol w:w="2268"/>
        <w:gridCol w:w="2268"/>
      </w:tblGrid>
      <w:tr>
        <w:tc>
          <w:tcPr>
            <w:tcW w:type="dxa" w:w="2268"/>
          </w:tcPr>
          <w:p>
            <w:r>
              <w:rPr>
                <w:rFonts w:ascii="Times New Roman" w:hAnsi="Times New Roman"/>
                <w:b/>
                <w:sz w:val="22"/>
              </w:rPr>
              <w:t>Scenario</w:t>
            </w:r>
          </w:p>
        </w:tc>
        <w:tc>
          <w:tcPr>
            <w:tcW w:type="dxa" w:w="2268"/>
          </w:tcPr>
          <w:p>
            <w:r>
              <w:rPr>
                <w:rFonts w:ascii="Times New Roman" w:hAnsi="Times New Roman"/>
                <w:b/>
                <w:sz w:val="22"/>
              </w:rPr>
              <w:t>December GMV retained (RM)</w:t>
            </w:r>
          </w:p>
        </w:tc>
        <w:tc>
          <w:tcPr>
            <w:tcW w:type="dxa" w:w="2268"/>
          </w:tcPr>
          <w:p>
            <w:r>
              <w:rPr>
                <w:rFonts w:ascii="Times New Roman" w:hAnsi="Times New Roman"/>
                <w:b/>
                <w:sz w:val="22"/>
              </w:rPr>
              <w:t>% of original</w:t>
            </w:r>
          </w:p>
        </w:tc>
        <w:tc>
          <w:tcPr>
            <w:tcW w:type="dxa" w:w="2268"/>
          </w:tcPr>
          <w:p>
            <w:r>
              <w:rPr>
                <w:rFonts w:ascii="Times New Roman" w:hAnsi="Times New Roman"/>
                <w:b/>
                <w:sz w:val="22"/>
              </w:rPr>
              <w:t>Active sellers remaining</w:t>
            </w:r>
          </w:p>
        </w:tc>
      </w:tr>
      <w:tr>
        <w:tc>
          <w:tcPr>
            <w:tcW w:type="dxa" w:w="2268"/>
          </w:tcPr>
          <w:p>
            <w:r>
              <w:rPr>
                <w:rFonts w:ascii="Times New Roman" w:hAnsi="Times New Roman"/>
                <w:sz w:val="22"/>
              </w:rPr>
              <w:t>Full sample</w:t>
            </w:r>
          </w:p>
        </w:tc>
        <w:tc>
          <w:tcPr>
            <w:tcW w:type="dxa" w:w="2268"/>
          </w:tcPr>
          <w:p>
            <w:r>
              <w:rPr>
                <w:rFonts w:ascii="Times New Roman" w:hAnsi="Times New Roman"/>
                <w:sz w:val="22"/>
              </w:rPr>
              <w:t>1,705,942.05</w:t>
            </w:r>
          </w:p>
        </w:tc>
        <w:tc>
          <w:tcPr>
            <w:tcW w:type="dxa" w:w="2268"/>
          </w:tcPr>
          <w:p>
            <w:r>
              <w:rPr>
                <w:rFonts w:ascii="Times New Roman" w:hAnsi="Times New Roman"/>
                <w:sz w:val="22"/>
              </w:rPr>
              <w:t>100.0</w:t>
            </w:r>
          </w:p>
        </w:tc>
        <w:tc>
          <w:tcPr>
            <w:tcW w:type="dxa" w:w="2268"/>
          </w:tcPr>
          <w:p>
            <w:r>
              <w:rPr>
                <w:rFonts w:ascii="Times New Roman" w:hAnsi="Times New Roman"/>
                <w:sz w:val="22"/>
              </w:rPr>
              <w:t>55</w:t>
            </w:r>
          </w:p>
        </w:tc>
      </w:tr>
      <w:tr>
        <w:tc>
          <w:tcPr>
            <w:tcW w:type="dxa" w:w="2268"/>
          </w:tcPr>
          <w:p>
            <w:r>
              <w:rPr>
                <w:rFonts w:ascii="Times New Roman" w:hAnsi="Times New Roman"/>
                <w:sz w:val="22"/>
              </w:rPr>
              <w:t>Exclude top 1</w:t>
            </w:r>
          </w:p>
        </w:tc>
        <w:tc>
          <w:tcPr>
            <w:tcW w:type="dxa" w:w="2268"/>
          </w:tcPr>
          <w:p>
            <w:r>
              <w:rPr>
                <w:rFonts w:ascii="Times New Roman" w:hAnsi="Times New Roman"/>
                <w:sz w:val="22"/>
              </w:rPr>
              <w:t>1,516,424.11</w:t>
            </w:r>
          </w:p>
        </w:tc>
        <w:tc>
          <w:tcPr>
            <w:tcW w:type="dxa" w:w="2268"/>
          </w:tcPr>
          <w:p>
            <w:r>
              <w:rPr>
                <w:rFonts w:ascii="Times New Roman" w:hAnsi="Times New Roman"/>
                <w:sz w:val="22"/>
              </w:rPr>
              <w:t>88.9</w:t>
            </w:r>
          </w:p>
        </w:tc>
        <w:tc>
          <w:tcPr>
            <w:tcW w:type="dxa" w:w="2268"/>
          </w:tcPr>
          <w:p>
            <w:r>
              <w:rPr>
                <w:rFonts w:ascii="Times New Roman" w:hAnsi="Times New Roman"/>
                <w:sz w:val="22"/>
              </w:rPr>
              <w:t>54</w:t>
            </w:r>
          </w:p>
        </w:tc>
      </w:tr>
      <w:tr>
        <w:tc>
          <w:tcPr>
            <w:tcW w:type="dxa" w:w="2268"/>
          </w:tcPr>
          <w:p>
            <w:r>
              <w:rPr>
                <w:rFonts w:ascii="Times New Roman" w:hAnsi="Times New Roman"/>
                <w:sz w:val="22"/>
              </w:rPr>
              <w:t>Exclude top 5</w:t>
            </w:r>
          </w:p>
        </w:tc>
        <w:tc>
          <w:tcPr>
            <w:tcW w:type="dxa" w:w="2268"/>
          </w:tcPr>
          <w:p>
            <w:r>
              <w:rPr>
                <w:rFonts w:ascii="Times New Roman" w:hAnsi="Times New Roman"/>
                <w:sz w:val="22"/>
              </w:rPr>
              <w:t>1,116,424.19</w:t>
            </w:r>
          </w:p>
        </w:tc>
        <w:tc>
          <w:tcPr>
            <w:tcW w:type="dxa" w:w="2268"/>
          </w:tcPr>
          <w:p>
            <w:r>
              <w:rPr>
                <w:rFonts w:ascii="Times New Roman" w:hAnsi="Times New Roman"/>
                <w:sz w:val="22"/>
              </w:rPr>
              <w:t>65.4</w:t>
            </w:r>
          </w:p>
        </w:tc>
        <w:tc>
          <w:tcPr>
            <w:tcW w:type="dxa" w:w="2268"/>
          </w:tcPr>
          <w:p>
            <w:r>
              <w:rPr>
                <w:rFonts w:ascii="Times New Roman" w:hAnsi="Times New Roman"/>
                <w:sz w:val="22"/>
              </w:rPr>
              <w:t>50</w:t>
            </w:r>
          </w:p>
        </w:tc>
      </w:tr>
      <w:tr>
        <w:tc>
          <w:tcPr>
            <w:tcW w:type="dxa" w:w="2268"/>
          </w:tcPr>
          <w:p>
            <w:r>
              <w:rPr>
                <w:rFonts w:ascii="Times New Roman" w:hAnsi="Times New Roman"/>
                <w:sz w:val="22"/>
              </w:rPr>
              <w:t>Exclude top 10</w:t>
            </w:r>
          </w:p>
        </w:tc>
        <w:tc>
          <w:tcPr>
            <w:tcW w:type="dxa" w:w="2268"/>
          </w:tcPr>
          <w:p>
            <w:r>
              <w:rPr>
                <w:rFonts w:ascii="Times New Roman" w:hAnsi="Times New Roman"/>
                <w:sz w:val="22"/>
              </w:rPr>
              <w:t>812,389.94</w:t>
            </w:r>
          </w:p>
        </w:tc>
        <w:tc>
          <w:tcPr>
            <w:tcW w:type="dxa" w:w="2268"/>
          </w:tcPr>
          <w:p>
            <w:r>
              <w:rPr>
                <w:rFonts w:ascii="Times New Roman" w:hAnsi="Times New Roman"/>
                <w:sz w:val="22"/>
              </w:rPr>
              <w:t>47.6</w:t>
            </w:r>
          </w:p>
        </w:tc>
        <w:tc>
          <w:tcPr>
            <w:tcW w:type="dxa" w:w="2268"/>
          </w:tcPr>
          <w:p>
            <w:r>
              <w:rPr>
                <w:rFonts w:ascii="Times New Roman" w:hAnsi="Times New Roman"/>
                <w:sz w:val="22"/>
              </w:rPr>
              <w:t>45</w:t>
            </w:r>
          </w:p>
        </w:tc>
      </w:tr>
    </w:tbl>
    <w:p>
      <w:r>
        <w:rPr>
          <w:b w:val="0"/>
          <w:i/>
          <w:sz w:val="20"/>
        </w:rPr>
        <w:t>Excluding the top 10 sellers removes over half of December GMV, confirming that programme-level success was driven by a small exceptional group rather than broad-based activation. Author calculation.</w:t>
      </w:r>
    </w:p>
    <w:p/>
    <w:p>
      <w:pPr>
        <w:pStyle w:val="Heading2"/>
      </w:pPr>
      <w:r>
        <w:rPr>
          <w:rFonts w:ascii="Times New Roman" w:hAnsi="Times New Roman"/>
          <w:b/>
          <w:sz w:val="24"/>
        </w:rPr>
        <w:t>4.7 Answers to the research questions</w:t>
      </w:r>
    </w:p>
    <w:p>
      <w:r>
        <w:rPr>
          <w:b w:val="0"/>
          <w:i w:val="0"/>
        </w:rPr>
        <w:t>RQ1 (concentration). Sales outcomes are severely right-skewed, with a median of RM1,284.50 against a mean of RM21,324.03, a Gini of approximately 0.71 and a top-10 share of 52.4 per cent. The mean is a poor representation of the typical seller's experience, and 31.3 per cent of companies recorded zero December GMV. Distribution, not average, is therefore the decisive inclusion metric.</w:t>
      </w:r>
    </w:p>
    <w:p>
      <w:r>
        <w:rPr>
          <w:b w:val="0"/>
          <w:i w:val="0"/>
        </w:rPr>
        <w:t>RQ2 (associated indicators). Short-video and livestream channels dominated value capture, together accounting for 80.0 per cent of cumulative sales, and content-driven formats are associated with performance at the channel level. Monthly component-total correlations are exploratory given seven observations and the part-whole structure, so they are reported as descriptive rather than causal.</w:t>
      </w:r>
    </w:p>
    <w:p>
      <w:r>
        <w:rPr>
          <w:b w:val="0"/>
          <w:i w:val="0"/>
        </w:rPr>
        <w:t>RQ3 (design implication). A Gini of 0.71, a top-10 share of 52.4 per cent and a sensitivity result that removes over half of December GMV when the top 10 are excluded show that inclusive design must target the 25 zero-GMV and 14 low-performing sellers directly, because aggregate success was not broadly distributed.</w:t>
      </w:r>
    </w:p>
    <w:p>
      <w:pPr>
        <w:pStyle w:val="Heading1"/>
      </w:pPr>
      <w:r>
        <w:rPr>
          <w:rFonts w:ascii="Times New Roman" w:hAnsi="Times New Roman"/>
          <w:b/>
          <w:sz w:val="24"/>
        </w:rPr>
        <w:t>5. Discussion</w:t>
      </w:r>
    </w:p>
    <w:p>
      <w:pPr>
        <w:pStyle w:val="Heading2"/>
      </w:pPr>
      <w:r>
        <w:rPr>
          <w:rFonts w:ascii="Times New Roman" w:hAnsi="Times New Roman"/>
          <w:b/>
          <w:sz w:val="24"/>
        </w:rPr>
        <w:t>5.1 Synthesis of findings</w:t>
      </w:r>
    </w:p>
    <w:p>
      <w:r>
        <w:rPr>
          <w:b w:val="0"/>
          <w:i w:val="0"/>
        </w:rPr>
        <w:t>The results describe a cohort in which access, training and platform tools were delivered to all 80 companies, but value was captured by a small elite: a Gini of approximately 0.71, a top-10 share of 52.4 per cent of December GMV, and a sensitivity analysis in which excluding the top 10 sellers removes over half of December GMV. Three further results qualify this picture. First, inequality persists on the active-seller subset (Gini approximately 0.63), so it is not merely an artefact of the 31.3 per cent zero-GMV tail. Second, subgroup contrasts did not differ significantly, so the separator of performance was not programme placement or membership category but the seller's own conversion behaviour. Third, content-driven channels dominated value capture. Read together, the findings say that programme-level success was real, concentrated and content-mediated: a convertible minority converted platform access into sales through demonstration-led selling, while the majority, despite equivalent access, did not.</w:t>
      </w:r>
    </w:p>
    <w:p>
      <w:r>
        <w:rPr>
          <w:b w:val="0"/>
          <w:i w:val="0"/>
        </w:rPr>
        <w:t>Within the theoretical framework, this is precisely the capability-conversion gap. Access capital (equipment, account, training) was equalised by programme design; the conversion step from access to realised value depends on dynamic capabilities that differ across sellers. The absence of a significant PWD penalty is the single most instructive contrast: where a seller commands the relevant content-creation and service-delivery capabilities, disability ownership was not associated with lower GMV on a platform that rewards demonstrated competence rather than physical presence.</w:t>
      </w:r>
    </w:p>
    <w:p>
      <w:pPr>
        <w:pStyle w:val="Heading2"/>
      </w:pPr>
      <w:r>
        <w:rPr>
          <w:rFonts w:ascii="Times New Roman" w:hAnsi="Times New Roman"/>
          <w:b/>
          <w:sz w:val="24"/>
        </w:rPr>
        <w:t>5.2 Comparison with prior publications</w:t>
      </w:r>
    </w:p>
    <w:p>
      <w:r>
        <w:rPr>
          <w:b w:val="0"/>
          <w:i w:val="0"/>
        </w:rPr>
        <w:t>Two prior publications arose from the same programme. The first (Abd Razak et al., 2026a) reported aggregate programme-level success using monthly Pearson correlations, concluding that the programme generated RM6.2 million in sales. The second (Abd Razak et al., 2026b) examined digital transformation capability as a driver of agropreneurial performance using partial least squares structural equation modelling, reporting significant capability relationships. The present article differs from both in a fundamental respect: it does not ask whether the programme worked or which capabilities predict performance, but how commercial value is distributed among firms participating in the same intervention. This distributional question was not addressed in either prior publication, and the seller-level concentration analysis (Gini, Lorenz, top-k shares, sensitivity) constitutes new analytical work on the same underlying dataset.</w:t>
      </w:r>
    </w:p>
    <w:p>
      <w:pPr>
        <w:pStyle w:val="Heading2"/>
      </w:pPr>
      <w:r>
        <w:rPr>
          <w:rFonts w:ascii="Times New Roman" w:hAnsi="Times New Roman"/>
          <w:b/>
          <w:sz w:val="24"/>
        </w:rPr>
        <w:t>5.3 Theoretical interpretation</w:t>
      </w:r>
    </w:p>
    <w:p>
      <w:r>
        <w:rPr>
          <w:b w:val="0"/>
          <w:i w:val="0"/>
        </w:rPr>
        <w:t>The findings support a value-capture reading of capability heterogeneity. Common access to institutional support and platform infrastructure may create opportunity equality without creating capability equality or outcome equality. The distinction between digital access, digital participation, capability conversion and value capture is analytically important: treating digitalisation as a single-stage process obscures the stage at which divergence is produced. The AMTTSE evidence reveals a distinction between programme success at aggregate level and entrepreneurial success at participant level. This distinction offers a significant contribution to research evaluating digital entrepreneurship interventions.</w:t>
      </w:r>
    </w:p>
    <w:p>
      <w:pPr>
        <w:pStyle w:val="Heading1"/>
      </w:pPr>
      <w:r>
        <w:rPr>
          <w:rFonts w:ascii="Times New Roman" w:hAnsi="Times New Roman"/>
          <w:b/>
          <w:sz w:val="24"/>
        </w:rPr>
        <w:t>6. Managerial and Policy Implications</w:t>
      </w:r>
    </w:p>
    <w:p>
      <w:pPr>
        <w:pStyle w:val="Heading2"/>
      </w:pPr>
      <w:r>
        <w:rPr>
          <w:rFonts w:ascii="Times New Roman" w:hAnsi="Times New Roman"/>
          <w:b/>
          <w:sz w:val="24"/>
        </w:rPr>
        <w:t>6.1 Implications for SME and agropreneur managers</w:t>
      </w:r>
    </w:p>
    <w:p>
      <w:r>
        <w:rPr>
          <w:b w:val="0"/>
          <w:i w:val="0"/>
        </w:rPr>
        <w:t>For agribusiness managers, the message is that channel competence is the highest-yield skill in a content-driven platform programme: short video and livestream together generated 80.0 per cent of sales, so content-creation and live-selling routines should precede promotional investment. The practical sequence implied by the results is: standardise product presentation; build a consistent short-video calendar; progress to regular livestreaming with order-taking workflows; then invest in promotion once conversion capacity exists. Managers should assess content, livestream and fulfilment through meaningful conversion indicators rather than volume alone, and should review performance data to reallocate effort toward formats and products that generate qualified engagement.</w:t>
      </w:r>
    </w:p>
    <w:p>
      <w:pPr>
        <w:pStyle w:val="Heading2"/>
      </w:pPr>
      <w:r>
        <w:rPr>
          <w:rFonts w:ascii="Times New Roman" w:hAnsi="Times New Roman"/>
          <w:b/>
          <w:sz w:val="24"/>
        </w:rPr>
        <w:t>6.2 Implications for platform ecosystem actors</w:t>
      </w:r>
    </w:p>
    <w:p>
      <w:r>
        <w:rPr>
          <w:b w:val="0"/>
          <w:i w:val="0"/>
        </w:rPr>
        <w:t>Platform ecosystem actors can support programme quality through transparent seller analytics, sandbox practice and accessible guidance for diverse participant groups. Seller development should distinguish basic access, content readiness, platform execution and operational readiness. High-performing firms may require scaling and inventory support, while low- and zero-GMV firms require targeted diagnosis rather than repeated generic training.</w:t>
      </w:r>
    </w:p>
    <w:p>
      <w:pPr>
        <w:pStyle w:val="Heading2"/>
      </w:pPr>
      <w:r>
        <w:rPr>
          <w:rFonts w:ascii="Times New Roman" w:hAnsi="Times New Roman"/>
          <w:b/>
          <w:sz w:val="24"/>
        </w:rPr>
        <w:t>6.3 Implications for policy</w:t>
      </w:r>
    </w:p>
    <w:p>
      <w:r>
        <w:rPr>
          <w:b w:val="0"/>
          <w:i w:val="0"/>
        </w:rPr>
        <w:t>For FAMA and comparable agencies, the central implication is that cumulative sales must be reported alongside distributional indicators. An inclusion programme judged solely on RM6,205,957.06 of sales would read as a success; a programme judged on a Gini of 0.71, a top-10 share of 52.4 per cent and a 31.3 per cent zero-GMV tail reads as one whose success was concentrated. Agencies should publish, for every cohort, a four-number dashboard: active-seller rate, median GMV, top-10 share and Gini. Programme evaluation should move beyond participant numbers, training completion and aggregate GMV towards seller activation, median performance, distribution of gains, zero-sales incidence, capability progression, sustainability of sales and post-programme retention. Future entrepreneurship programmes should differentiate between access metrics, activity metrics, conversion metrics and value-capture metrics.</w:t>
      </w:r>
    </w:p>
    <w:p>
      <w:pPr>
        <w:pStyle w:val="Heading1"/>
      </w:pPr>
      <w:r>
        <w:rPr>
          <w:rFonts w:ascii="Times New Roman" w:hAnsi="Times New Roman"/>
          <w:b/>
          <w:sz w:val="24"/>
        </w:rPr>
        <w:t>7. Limitations</w:t>
      </w:r>
    </w:p>
    <w:p>
      <w:r>
        <w:rPr>
          <w:b w:val="0"/>
          <w:i w:val="0"/>
        </w:rPr>
        <w:t>Seven limitations bound the claims in this article, each stated with its mitigation and its direction for future work.</w:t>
      </w:r>
    </w:p>
    <w:p>
      <w:r>
        <w:rPr>
          <w:b w:val="0"/>
          <w:i w:val="0"/>
        </w:rPr>
        <w:t>First, the dataset contains seven monthly observations, which is a hard floor for any temporal modelling. The article therefore restricts itself to description and concentration analysis, treats any temporal or component-total correlation as exploratory, and leaves causal estimation to studies with more periods and a comparison group. Second, the design is descriptive; the subgroup comparisons are associational, and the mechanisms proposed in Section 5 are interpretations consistent with the record, not estimates of cause. Third, channel values are components of the monthly totals, so channel-total correlations are partly mechanical; the channel findings are accordingly labelled exploratory.</w:t>
      </w:r>
    </w:p>
    <w:p>
      <w:r>
        <w:rPr>
          <w:b w:val="0"/>
          <w:i w:val="0"/>
        </w:rPr>
        <w:t>Fourth, the study relies on a single programme and platform; transferability to other platforms, product mixes and countries is a matter for replication rather than inference. Fifth, the analysis excludes conversion-process variables because the administrative record does not contain them; linking the seller GMV sheet to platform engagement logs is the most valuable data extension available. Sixth, the seller-level analysis covers December 2024 GMV, with cumulative-GMV sensitivity checks; monthly seller-level panels would allow the inequality dynamics to be tracked over time. Seventh, although the records were verified against programme totals, the provenance is programme administration rather than independent audit; publication of the underlying anonymised GMV sheet would strengthen reproducibility. GMV is not equivalent to profit, and the reported 1:31 ratio depends on an undocumented cost denominator.</w:t>
      </w:r>
    </w:p>
    <w:p>
      <w:pPr>
        <w:pStyle w:val="Heading1"/>
      </w:pPr>
      <w:r>
        <w:rPr>
          <w:rFonts w:ascii="Times New Roman" w:hAnsi="Times New Roman"/>
          <w:b/>
          <w:sz w:val="24"/>
        </w:rPr>
        <w:t>8. Conclusion</w:t>
      </w:r>
    </w:p>
    <w:p>
      <w:r>
        <w:rPr>
          <w:b w:val="0"/>
          <w:i w:val="0"/>
        </w:rPr>
        <w:t>This article set out to answer a question that cumulative-sales reporting routinely hides: when a government-platform social-commerce programme delivers access and training to a cohort of firms, who actually captures the value? Using the complete administrative record of the Agromarketing Masterclass TikTok Shop Edition (AMTTSE), the article documents an achievement and a warning. The achievement is real: cumulative sales of RM6,205,957.06, a reported ROI of 1:31, and 68.8 per cent of companies recording positive December GMV. The warning is distributional: the median December GMV was RM1,284.50 against a mean of RM21,324.03, the Gini coefficient stood at approximately 0.71, the top 10 sellers captured 52.4 per cent of December GMV while the bottom half captured 3.1 per cent, and excluding the top 10 sellers removes over half of December GMV.</w:t>
      </w:r>
    </w:p>
    <w:p>
      <w:r>
        <w:rPr>
          <w:b w:val="0"/>
          <w:i w:val="0"/>
        </w:rPr>
        <w:t>The theoretical reading is that AMTTSE equalised access but not conversion. Resources were held in near-equal proportions, so a pure resource-based explanation fails; the dynamic-capabilities corrective, in which ordinary access resources must be recomposed into conversion capabilities that differ across sellers, fits the record. The value-capture perspective explains why the platform's algorithmic distribution of visibility concentrates commercial rewards among a convertible minority. For entrepreneurship policy, the implication is that future programmes should differentiate between access metrics, activity metrics, conversion metrics and value-capture metrics, and should design support for the sellers who were left behind.</w:t>
      </w:r>
    </w:p>
    <w:p>
      <w:pPr>
        <w:pStyle w:val="Heading1"/>
      </w:pPr>
      <w:r>
        <w:rPr>
          <w:rFonts w:ascii="Times New Roman" w:hAnsi="Times New Roman"/>
          <w:b/>
          <w:sz w:val="24"/>
        </w:rPr>
        <w:t>References</w:t>
      </w:r>
    </w:p>
    <w:p>
      <w:pPr>
        <w:ind w:left="720" w:hanging="720"/>
      </w:pPr>
      <w:r>
        <w:rPr>
          <w:b w:val="0"/>
          <w:i w:val="0"/>
        </w:rPr>
        <w:t>Abd Razak, A. R., Zainal, S. F., Azmi, S. N., Roslan, N. H., &amp; Ani, N. S. (2026a). Assessing the success of Agromarketing Masterclass TikTok Shop Edition: Evidence from FAMA's digital agropreneurship program. Journal of International Business, Economics and Entrepreneurship, 11(1), 104-116. https://doi.org/10.24191/jibe.v11i1.11085</w:t>
      </w:r>
    </w:p>
    <w:p>
      <w:pPr>
        <w:ind w:left="720" w:hanging="720"/>
      </w:pPr>
      <w:r>
        <w:rPr>
          <w:b w:val="0"/>
          <w:i w:val="0"/>
        </w:rPr>
        <w:t>Abd Razak, A. R., Roslan, N. H., Zainal, S. F., Azmi, S. N., Ani, N. S., Zainal Abidin, N. I., &amp; Omar, M. S. (2026b). Digital transformation capability as a driver of agropreneurial performance in social commerce context. Journal of Advanced Research in Business and Management Studies, 44(1), 10-32. https://doi.org/10.37934/arbms.44.1.1032</w:t>
      </w:r>
    </w:p>
    <w:p>
      <w:pPr>
        <w:ind w:left="720" w:hanging="720"/>
      </w:pPr>
      <w:r>
        <w:rPr>
          <w:b w:val="0"/>
          <w:i w:val="0"/>
        </w:rPr>
        <w:t>Barney, J. (1991). Firm resources and sustained competitive advantage. Journal of Management, 17(1), 99-120. https://doi.org/10.1177/014920639101700108</w:t>
      </w:r>
    </w:p>
    <w:p>
      <w:pPr>
        <w:ind w:left="720" w:hanging="720"/>
      </w:pPr>
      <w:r>
        <w:rPr>
          <w:b w:val="0"/>
          <w:i w:val="0"/>
        </w:rPr>
        <w:t>Barrett, C. B. (2008). Smallholder market participation: Concepts and evidence from eastern and southern Africa. Food Policy, 33(4), 299-317.</w:t>
      </w:r>
    </w:p>
    <w:p>
      <w:pPr>
        <w:ind w:left="720" w:hanging="720"/>
      </w:pPr>
      <w:r>
        <w:rPr>
          <w:b w:val="0"/>
          <w:i w:val="0"/>
        </w:rPr>
        <w:t>Busalim, A. H., &amp; Hussin, A. R. C. (2016). Understanding social commerce: A systematic literature review and directions for further research. International Journal of Information Management, 36(6), 1075-1088.</w:t>
      </w:r>
    </w:p>
    <w:p>
      <w:pPr>
        <w:ind w:left="720" w:hanging="720"/>
      </w:pPr>
      <w:r>
        <w:rPr>
          <w:b w:val="0"/>
          <w:i w:val="0"/>
        </w:rPr>
        <w:t>Cutolo, D., &amp; Kenney, M. (2021). Platform-dependent entrepreneurs: Power asymmetries, risks, and strategies in the platform economy. Strategic Management Journal, 42(8), 1363-1390.</w:t>
      </w:r>
    </w:p>
    <w:p>
      <w:pPr>
        <w:ind w:left="720" w:hanging="720"/>
      </w:pPr>
      <w:r>
        <w:rPr>
          <w:b w:val="0"/>
          <w:i w:val="0"/>
        </w:rPr>
        <w:t>Eisenhardt, K. M., &amp; Martin, J. A. (2000). Dynamic capabilities: What are they? Strategic Management Journal, 21(10-11), 1105-1121.</w:t>
      </w:r>
    </w:p>
    <w:p>
      <w:pPr>
        <w:ind w:left="720" w:hanging="720"/>
      </w:pPr>
      <w:r>
        <w:rPr>
          <w:b w:val="0"/>
          <w:i w:val="0"/>
        </w:rPr>
        <w:t>FAMA. (2024). Projek Perintis Report (December 2024): Agromarketing Masterclass TikTok Shop Edition performance dataset. Federal Agricultural Marketing Authority.</w:t>
      </w:r>
    </w:p>
    <w:p>
      <w:pPr>
        <w:ind w:left="720" w:hanging="720"/>
      </w:pPr>
      <w:r>
        <w:rPr>
          <w:b w:val="0"/>
          <w:i w:val="0"/>
        </w:rPr>
        <w:t>Gans, J., &amp; Ryall, M. D. (2017). Value capture theory: A strategic management review. Strategic Management Journal, 38(1), 17-41.</w:t>
      </w:r>
    </w:p>
    <w:p>
      <w:pPr>
        <w:ind w:left="720" w:hanging="720"/>
      </w:pPr>
      <w:r>
        <w:rPr>
          <w:b w:val="0"/>
          <w:i w:val="0"/>
        </w:rPr>
        <w:t>Gawer, A. (2014). Bridging differing perspectives on technological platforms: Toward an integrative framework. Research Policy, 43(7), 1239-1249.</w:t>
      </w:r>
    </w:p>
    <w:p>
      <w:pPr>
        <w:ind w:left="720" w:hanging="720"/>
      </w:pPr>
      <w:r>
        <w:rPr>
          <w:b w:val="0"/>
          <w:i w:val="0"/>
        </w:rPr>
        <w:t>Hajli, N. (2015). Social commerce constructs and consumer's intention to buy. International Journal of Information Management, 35(2), 183-191. https://doi.org/10.1016/j.ijinfomgt.2014.12.005</w:t>
      </w:r>
    </w:p>
    <w:p>
      <w:pPr>
        <w:ind w:left="720" w:hanging="720"/>
      </w:pPr>
      <w:r>
        <w:rPr>
          <w:b w:val="0"/>
          <w:i w:val="0"/>
        </w:rPr>
        <w:t>Jacobides, M. G., Cennamo, C., &amp; Gawer, A. (2018). Towards a theory of ecosystems. Strategic Management Journal, 39(8), 2255-2276.</w:t>
      </w:r>
    </w:p>
    <w:p>
      <w:pPr>
        <w:ind w:left="720" w:hanging="720"/>
      </w:pPr>
      <w:r>
        <w:rPr>
          <w:b w:val="0"/>
          <w:i w:val="0"/>
        </w:rPr>
        <w:t>Lepak, D. P., Smith, K. G., &amp; Taylor, M. S. (2007). Value creation and value capture: A multilevel perspective. Academy of Management Review, 32(1), 180-194.</w:t>
      </w:r>
    </w:p>
    <w:p>
      <w:pPr>
        <w:ind w:left="720" w:hanging="720"/>
      </w:pPr>
      <w:r>
        <w:rPr>
          <w:b w:val="0"/>
          <w:i w:val="0"/>
        </w:rPr>
        <w:t>Lu, B., &amp; Chen, Z. (2021). Live streaming commerce and consumers' purchase intention: An uncertainty reduction perspective. Information &amp; Management, 58(7), 103509.</w:t>
      </w:r>
    </w:p>
    <w:p>
      <w:pPr>
        <w:ind w:left="720" w:hanging="720"/>
      </w:pPr>
      <w:r>
        <w:rPr>
          <w:b w:val="0"/>
          <w:i w:val="0"/>
        </w:rPr>
        <w:t>Reardon, T., &amp; Timmer, C. P. (2014). Interlinked transformations and food system convergence: The six double movements. Global Food Security, 3(3-4), 108-113.</w:t>
      </w:r>
    </w:p>
    <w:p>
      <w:pPr>
        <w:ind w:left="720" w:hanging="720"/>
      </w:pPr>
      <w:r>
        <w:rPr>
          <w:b w:val="0"/>
          <w:i w:val="0"/>
        </w:rPr>
        <w:t>Scheerder, A., van Deursen, A., &amp; van Dijk, J. (2017). Determinants of Internet skills, uses and outcomes: A systematic review of the second- and third-level digital divide. Telematics and Informatics, 34(8), 1607-1624.</w:t>
      </w:r>
    </w:p>
    <w:p>
      <w:pPr>
        <w:ind w:left="720" w:hanging="720"/>
      </w:pPr>
      <w:r>
        <w:rPr>
          <w:b w:val="0"/>
          <w:i w:val="0"/>
        </w:rPr>
        <w:t>Sun, Y., Shao, X., Li, X., Guo, Y., &amp; Nie, K. (2019). How live streaming influences purchase intentions in social commerce: An IT affordance perspective. Electronic Commerce Research and Applications, 37, 100886.</w:t>
      </w:r>
    </w:p>
    <w:p>
      <w:pPr>
        <w:ind w:left="720" w:hanging="720"/>
      </w:pPr>
      <w:r>
        <w:rPr>
          <w:b w:val="0"/>
          <w:i w:val="0"/>
        </w:rPr>
        <w:t>Teece, D. J. (2018). Business models and dynamic capabilities. Long Range Planning, 51(1), 40-49.</w:t>
      </w:r>
    </w:p>
    <w:p>
      <w:pPr>
        <w:ind w:left="720" w:hanging="720"/>
      </w:pPr>
      <w:r>
        <w:rPr>
          <w:b w:val="0"/>
          <w:i w:val="0"/>
        </w:rPr>
        <w:t>Teece, D. J., Pisano, G., &amp; Shuen, A. (1997). Dynamic capabilities and strategic management. Strategic Management Journal, 18(7), 509-533.</w:t>
      </w:r>
    </w:p>
    <w:p>
      <w:pPr>
        <w:ind w:left="720" w:hanging="720"/>
      </w:pPr>
      <w:r>
        <w:rPr>
          <w:b w:val="0"/>
          <w:i w:val="0"/>
        </w:rPr>
        <w:t>van Deursen, A. J., &amp; van Dijk, J. A. (2019). The first-level digital divide shifts from inequalities in physical access to inequalities in material access. New Media &amp; Society, 21(2), 354-375.</w:t>
      </w:r>
    </w:p>
    <w:p>
      <w:pPr>
        <w:ind w:left="720" w:hanging="720"/>
      </w:pPr>
      <w:r>
        <w:rPr>
          <w:b w:val="0"/>
          <w:i w:val="0"/>
        </w:rPr>
        <w:t>Wade, M., &amp; Hulland, J. (2004). Review: The resource-based view and information systems research. MIS Quarterly, 28(1), 107-142.</w:t>
      </w:r>
    </w:p>
    <w:p>
      <w:pPr>
        <w:ind w:left="720" w:hanging="720"/>
      </w:pPr>
      <w:r>
        <w:rPr>
          <w:b w:val="0"/>
          <w:i w:val="0"/>
        </w:rPr>
        <w:t>Wongkitrungrueng, A., &amp; Assarut, N. (2020). The role of live streaming in building consumer trust and engagement with social commerce sellers. Journal of Business Research, 117, 543-556.</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