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97918"/>
          <w:sz w:val="18"/>
        </w:rPr>
        <w:t>CADANGAN KERJASAMA STRATEGIK</w:t>
      </w:r>
    </w:p>
    <w:p>
      <w:pPr>
        <w:pStyle w:val="Title"/>
        <w:jc w:val="center"/>
      </w:pPr>
      <w:r>
        <w:t>FAMA × AINNA</w:t>
        <w:br/>
      </w:r>
      <w:r>
        <w:rPr>
          <w:color w:val="1F3025"/>
          <w:sz w:val="42"/>
        </w:rPr>
        <w:t>Program Transformasi Digital &amp; AI PKS</w:t>
      </w:r>
    </w:p>
    <w:p>
      <w:pPr>
        <w:jc w:val="center"/>
      </w:pPr>
      <w:r>
        <w:rPr>
          <w:b/>
          <w:color w:val="647167"/>
          <w:sz w:val="20"/>
        </w:rPr>
        <w:t>RINGKASAN EKSEKUTIF  |  CADANGAN PILOT 30 PKS</w:t>
      </w:r>
    </w:p>
    <w:tbl>
      <w:tblPr>
        <w:tblW w:type="auto" w:w="0"/>
        <w:jc w:val="center"/>
        <w:tblLook w:firstColumn="1" w:firstRow="1" w:lastColumn="0" w:lastRow="0" w:noHBand="0" w:noVBand="1" w:val="04A0"/>
      </w:tblPr>
      <w:tblGrid>
        <w:gridCol w:w="10166"/>
      </w:tblGrid>
      <w:tr>
        <w:tc>
          <w:tcPr>
            <w:tcW w:type="dxa" w:w="10166"/>
            <w:shd w:fill="EEF8F0"/>
            <w:tcMar>
              <w:top w:w="180" w:type="dxa"/>
              <w:start w:w="220" w:type="dxa"/>
              <w:bottom w:w="180" w:type="dxa"/>
              <w:end w:w="220" w:type="dxa"/>
            </w:tcMar>
          </w:tcPr>
          <w:p>
            <w:pPr>
              <w:jc w:val="center"/>
            </w:pPr>
            <w:r>
              <w:rPr>
                <w:b/>
                <w:color w:val="176B3A"/>
                <w:sz w:val="18"/>
              </w:rPr>
              <w:t>TERAS CADANGAN</w:t>
              <w:br/>
            </w:r>
            <w:r>
              <w:rPr>
                <w:b/>
                <w:color w:val="1F3025"/>
                <w:sz w:val="25"/>
              </w:rPr>
              <w:t>Bukan sekadar latihan AI — setiap PKS membina, deploy dan menggunakan aset digital serta aliran kerja perniagaan sebenar.</w:t>
            </w:r>
          </w:p>
        </w:tc>
      </w:tr>
    </w:tbl>
    <w:p>
      <w:pPr>
        <w:pStyle w:val="Heading1"/>
      </w:pPr>
      <w:r>
        <w:t>1. Ringkasan Cadangan</w:t>
      </w:r>
    </w:p>
    <w:p>
      <w:r>
        <w:t>AINNA mencadangkan kerjasama strategik bersama FAMA untuk melaksanakan Program Transformasi Digital &amp; AI PKS yang berorientasikan pelaksanaan sebenar. Program ini direka bagi membantu usahawan agromakanan, makanan dan minuman (F&amp;B), IKS dan perniagaan berasaskan produk membina satu persekitaran digital yang menghubungkan profil perniagaan, katalog produk, jualan, pesanan, inventori, pembekal, kewangan, dashboard pengurusan dan automasi berasaskan AI.</w:t>
      </w:r>
    </w:p>
    <w:p>
      <w:r>
        <w:t>Cadangan awal melibatkan 30 PKS sebagai kumpulan pilot. Setiap peserta bukan sahaja menerima pendedahan mengenai AI, tetapi dibimbing untuk menghasilkan sistem dan aset digital yang boleh terus digunakan selepas program. Selepas deployment, penggunaan dan tahap penerimaan sistem dicadangkan untuk dipantau selama 90 hari bagi menghasilkan bukti outcome sebelum model program dipertimbangkan untuk diperluaskan.</w:t>
      </w:r>
    </w:p>
    <w:p>
      <w:pPr>
        <w:pStyle w:val="Heading1"/>
      </w:pPr>
      <w:r>
        <w:t>2. Nilai Strategik kepada FAMA</w:t>
      </w:r>
    </w:p>
    <w:tbl>
      <w:tblPr>
        <w:tblW w:type="auto" w:w="0"/>
        <w:jc w:val="center"/>
        <w:tblLook w:firstColumn="1" w:firstRow="1" w:lastColumn="0" w:lastRow="0" w:noHBand="0" w:noVBand="1" w:val="04A0"/>
      </w:tblPr>
      <w:tblGrid>
        <w:gridCol w:w="3389"/>
        <w:gridCol w:w="3389"/>
        <w:gridCol w:w="3389"/>
      </w:tblGrid>
      <w:tr>
        <w:tc>
          <w:tcPr>
            <w:tcW w:type="dxa" w:w="3389"/>
            <w:shd w:fill="0F4F2B"/>
            <w:tcMar>
              <w:top w:w="120" w:type="dxa"/>
              <w:start w:w="140" w:type="dxa"/>
              <w:bottom w:w="120" w:type="dxa"/>
              <w:end w:w="140" w:type="dxa"/>
            </w:tcMar>
          </w:tcPr>
          <w:p>
            <w:r>
              <w:rPr>
                <w:b/>
                <w:color w:val="FFFFFF"/>
                <w:sz w:val="17"/>
              </w:rPr>
              <w:t>Keperluan / Fokus</w:t>
            </w:r>
          </w:p>
        </w:tc>
        <w:tc>
          <w:tcPr>
            <w:tcW w:type="dxa" w:w="3389"/>
            <w:shd w:fill="0F4F2B"/>
            <w:tcMar>
              <w:top w:w="120" w:type="dxa"/>
              <w:start w:w="140" w:type="dxa"/>
              <w:bottom w:w="120" w:type="dxa"/>
              <w:end w:w="140" w:type="dxa"/>
            </w:tcMar>
          </w:tcPr>
          <w:p>
            <w:r>
              <w:rPr>
                <w:b/>
                <w:color w:val="FFFFFF"/>
                <w:sz w:val="17"/>
              </w:rPr>
              <w:t>Lapisan AINNA yang Dicadangkan</w:t>
            </w:r>
          </w:p>
        </w:tc>
        <w:tc>
          <w:tcPr>
            <w:tcW w:type="dxa" w:w="3389"/>
            <w:shd w:fill="0F4F2B"/>
            <w:tcMar>
              <w:top w:w="120" w:type="dxa"/>
              <w:start w:w="140" w:type="dxa"/>
              <w:bottom w:w="120" w:type="dxa"/>
              <w:end w:w="140" w:type="dxa"/>
            </w:tcMar>
          </w:tcPr>
          <w:p>
            <w:r>
              <w:rPr>
                <w:b/>
                <w:color w:val="FFFFFF"/>
                <w:sz w:val="17"/>
              </w:rPr>
              <w:t>Nilai kepada FAMA &amp; PKS</w:t>
            </w:r>
          </w:p>
        </w:tc>
      </w:tr>
      <w:tr>
        <w:tc>
          <w:tcPr>
            <w:tcW w:type="dxa" w:w="3389"/>
            <w:tcMar>
              <w:top w:w="120" w:type="dxa"/>
              <w:start w:w="140" w:type="dxa"/>
              <w:bottom w:w="120" w:type="dxa"/>
              <w:end w:w="140" w:type="dxa"/>
            </w:tcMar>
            <w:vAlign w:val="center"/>
          </w:tcPr>
          <w:p>
            <w:r>
              <w:rPr>
                <w:sz w:val="16"/>
              </w:rPr>
              <w:t>Pendigitalan usahawan</w:t>
            </w:r>
          </w:p>
        </w:tc>
        <w:tc>
          <w:tcPr>
            <w:tcW w:type="dxa" w:w="3389"/>
            <w:tcMar>
              <w:top w:w="120" w:type="dxa"/>
              <w:start w:w="140" w:type="dxa"/>
              <w:bottom w:w="120" w:type="dxa"/>
              <w:end w:w="140" w:type="dxa"/>
            </w:tcMar>
            <w:vAlign w:val="center"/>
          </w:tcPr>
          <w:p>
            <w:r>
              <w:rPr>
                <w:sz w:val="16"/>
              </w:rPr>
              <w:t>Website / Digital HQ + data produk tersusun</w:t>
            </w:r>
          </w:p>
        </w:tc>
        <w:tc>
          <w:tcPr>
            <w:tcW w:type="dxa" w:w="3389"/>
            <w:tcMar>
              <w:top w:w="120" w:type="dxa"/>
              <w:start w:w="140" w:type="dxa"/>
              <w:bottom w:w="120" w:type="dxa"/>
              <w:end w:w="140" w:type="dxa"/>
            </w:tcMar>
            <w:vAlign w:val="center"/>
          </w:tcPr>
          <w:p>
            <w:r>
              <w:rPr>
                <w:sz w:val="16"/>
              </w:rPr>
              <w:t>Identiti digital lebih kuat dan kesiapsiagaan perniagaan meningkat</w:t>
            </w:r>
          </w:p>
        </w:tc>
      </w:tr>
      <w:tr>
        <w:tc>
          <w:tcPr>
            <w:tcW w:type="dxa" w:w="3389"/>
            <w:tcMar>
              <w:top w:w="120" w:type="dxa"/>
              <w:start w:w="140" w:type="dxa"/>
              <w:bottom w:w="120" w:type="dxa"/>
              <w:end w:w="140" w:type="dxa"/>
            </w:tcMar>
            <w:vAlign w:val="center"/>
            <w:shd w:fill="F7FBF8"/>
          </w:tcPr>
          <w:p>
            <w:r>
              <w:rPr>
                <w:sz w:val="16"/>
              </w:rPr>
              <w:t>Kecekapan operasi</w:t>
            </w:r>
          </w:p>
        </w:tc>
        <w:tc>
          <w:tcPr>
            <w:tcW w:type="dxa" w:w="3389"/>
            <w:tcMar>
              <w:top w:w="120" w:type="dxa"/>
              <w:start w:w="140" w:type="dxa"/>
              <w:bottom w:w="120" w:type="dxa"/>
              <w:end w:w="140" w:type="dxa"/>
            </w:tcMar>
            <w:vAlign w:val="center"/>
            <w:shd w:fill="F7FBF8"/>
          </w:tcPr>
          <w:p>
            <w:r>
              <w:rPr>
                <w:sz w:val="16"/>
              </w:rPr>
              <w:t>Pesanan, stok, pembekal dan aliran kewangan</w:t>
            </w:r>
          </w:p>
        </w:tc>
        <w:tc>
          <w:tcPr>
            <w:tcW w:type="dxa" w:w="3389"/>
            <w:tcMar>
              <w:top w:w="120" w:type="dxa"/>
              <w:start w:w="140" w:type="dxa"/>
              <w:bottom w:w="120" w:type="dxa"/>
              <w:end w:w="140" w:type="dxa"/>
            </w:tcMar>
            <w:vAlign w:val="center"/>
            <w:shd w:fill="F7FBF8"/>
          </w:tcPr>
          <w:p>
            <w:r>
              <w:rPr>
                <w:sz w:val="16"/>
              </w:rPr>
              <w:t>Kurang proses manual dan visibility operasi lebih baik</w:t>
            </w:r>
          </w:p>
        </w:tc>
      </w:tr>
      <w:tr>
        <w:tc>
          <w:tcPr>
            <w:tcW w:type="dxa" w:w="3389"/>
            <w:tcMar>
              <w:top w:w="120" w:type="dxa"/>
              <w:start w:w="140" w:type="dxa"/>
              <w:bottom w:w="120" w:type="dxa"/>
              <w:end w:w="140" w:type="dxa"/>
            </w:tcMar>
            <w:vAlign w:val="center"/>
          </w:tcPr>
          <w:p>
            <w:r>
              <w:rPr>
                <w:sz w:val="16"/>
              </w:rPr>
              <w:t>Penerapan AI</w:t>
            </w:r>
          </w:p>
        </w:tc>
        <w:tc>
          <w:tcPr>
            <w:tcW w:type="dxa" w:w="3389"/>
            <w:tcMar>
              <w:top w:w="120" w:type="dxa"/>
              <w:start w:w="140" w:type="dxa"/>
              <w:bottom w:w="120" w:type="dxa"/>
              <w:end w:w="140" w:type="dxa"/>
            </w:tcMar>
            <w:vAlign w:val="center"/>
          </w:tcPr>
          <w:p>
            <w:r>
              <w:rPr>
                <w:sz w:val="16"/>
              </w:rPr>
              <w:t>AI Agent Environment + automasi terpilih</w:t>
            </w:r>
          </w:p>
        </w:tc>
        <w:tc>
          <w:tcPr>
            <w:tcW w:type="dxa" w:w="3389"/>
            <w:tcMar>
              <w:top w:w="120" w:type="dxa"/>
              <w:start w:w="140" w:type="dxa"/>
              <w:bottom w:w="120" w:type="dxa"/>
              <w:end w:w="140" w:type="dxa"/>
            </w:tcMar>
            <w:vAlign w:val="center"/>
          </w:tcPr>
          <w:p>
            <w:r>
              <w:rPr>
                <w:sz w:val="16"/>
              </w:rPr>
              <w:t>AI digunakan dalam tugasan sebenar, bukan sekadar teori</w:t>
            </w:r>
          </w:p>
        </w:tc>
      </w:tr>
      <w:tr>
        <w:tc>
          <w:tcPr>
            <w:tcW w:type="dxa" w:w="3389"/>
            <w:tcMar>
              <w:top w:w="120" w:type="dxa"/>
              <w:start w:w="140" w:type="dxa"/>
              <w:bottom w:w="120" w:type="dxa"/>
              <w:end w:w="140" w:type="dxa"/>
            </w:tcMar>
            <w:vAlign w:val="center"/>
            <w:shd w:fill="F7FBF8"/>
          </w:tcPr>
          <w:p>
            <w:r>
              <w:rPr>
                <w:sz w:val="16"/>
              </w:rPr>
              <w:t>Pengukuran program</w:t>
            </w:r>
          </w:p>
        </w:tc>
        <w:tc>
          <w:tcPr>
            <w:tcW w:type="dxa" w:w="3389"/>
            <w:tcMar>
              <w:top w:w="120" w:type="dxa"/>
              <w:start w:w="140" w:type="dxa"/>
              <w:bottom w:w="120" w:type="dxa"/>
              <w:end w:w="140" w:type="dxa"/>
            </w:tcMar>
            <w:vAlign w:val="center"/>
            <w:shd w:fill="F7FBF8"/>
          </w:tcPr>
          <w:p>
            <w:r>
              <w:rPr>
                <w:sz w:val="16"/>
              </w:rPr>
              <w:t>Dashboard penggunaan + pemantauan 90 hari</w:t>
            </w:r>
          </w:p>
        </w:tc>
        <w:tc>
          <w:tcPr>
            <w:tcW w:type="dxa" w:w="3389"/>
            <w:tcMar>
              <w:top w:w="120" w:type="dxa"/>
              <w:start w:w="140" w:type="dxa"/>
              <w:bottom w:w="120" w:type="dxa"/>
              <w:end w:w="140" w:type="dxa"/>
            </w:tcMar>
            <w:vAlign w:val="center"/>
            <w:shd w:fill="F7FBF8"/>
          </w:tcPr>
          <w:p>
            <w:r>
              <w:rPr>
                <w:sz w:val="16"/>
              </w:rPr>
              <w:t>Bukti untuk menilai pilot dan membuat keputusan scale-up</w:t>
            </w:r>
          </w:p>
        </w:tc>
      </w:tr>
    </w:tbl>
    <w:p>
      <w:pPr>
        <w:pStyle w:val="Heading1"/>
      </w:pPr>
      <w:r>
        <w:t>3. Cadangan Pilot 30 PKS</w:t>
      </w:r>
    </w:p>
    <w:p>
      <w:r>
        <w:rPr>
          <w:b/>
          <w:color w:val="0F4F2B"/>
        </w:rPr>
        <w:t xml:space="preserve">Sasaran peserta: </w:t>
      </w:r>
      <w:r>
        <w:t>30 PKS aktif dalam ekosistem FAMA.</w:t>
        <w:br/>
      </w:r>
      <w:r>
        <w:rPr>
          <w:b/>
          <w:color w:val="0F4F2B"/>
        </w:rPr>
        <w:t xml:space="preserve">Segmen keutamaan: </w:t>
      </w:r>
      <w:r>
        <w:t>Agromakanan, F&amp;B, IKS dan perniagaan berasaskan produk.</w:t>
        <w:br/>
      </w:r>
      <w:r>
        <w:rPr>
          <w:b/>
          <w:color w:val="0F4F2B"/>
        </w:rPr>
        <w:t xml:space="preserve">Kriteria peserta: </w:t>
      </w:r>
      <w:r>
        <w:t>Mempunyai perniagaan aktif, data asas syarikat/produk/harga dan bersedia menggunakan sistem yang dibina.</w:t>
        <w:br/>
      </w:r>
      <w:r>
        <w:rPr>
          <w:b/>
          <w:color w:val="0F4F2B"/>
        </w:rPr>
        <w:t xml:space="preserve">Prinsip pelaksanaan: </w:t>
      </w:r>
      <w:r>
        <w:t>Bina → Deploy → Guna → Ukur.</w:t>
        <w:br/>
      </w:r>
    </w:p>
    <w:p>
      <w:pPr>
        <w:pStyle w:val="Heading1"/>
      </w:pPr>
      <w:r>
        <w:t>4. Apa yang Setiap PKS Akan Terima</w:t>
      </w:r>
    </w:p>
    <w:tbl>
      <w:tblPr>
        <w:tblW w:type="auto" w:w="0"/>
        <w:jc w:val="center"/>
        <w:tblLook w:firstColumn="1" w:firstRow="1" w:lastColumn="0" w:lastRow="0" w:noHBand="0" w:noVBand="1" w:val="04A0"/>
      </w:tblPr>
      <w:tblGrid>
        <w:gridCol w:w="2541"/>
        <w:gridCol w:w="2541"/>
        <w:gridCol w:w="2541"/>
        <w:gridCol w:w="2541"/>
      </w:tblGrid>
      <w:tr>
        <w:tc>
          <w:tcPr>
            <w:tcW w:type="dxa" w:w="2541"/>
            <w:shd w:fill="EEF8F0"/>
            <w:tcMar>
              <w:top w:w="150" w:type="dxa"/>
              <w:start w:w="120" w:type="dxa"/>
              <w:bottom w:w="150" w:type="dxa"/>
              <w:end w:w="120" w:type="dxa"/>
            </w:tcMar>
          </w:tcPr>
          <w:p>
            <w:pPr>
              <w:jc w:val="center"/>
            </w:pPr>
            <w:r>
              <w:rPr>
                <w:b/>
                <w:color w:val="0F4F2B"/>
                <w:sz w:val="17"/>
              </w:rPr>
              <w:t>Persekitaran AI Agent</w:t>
              <w:br/>
            </w:r>
            <w:r>
              <w:rPr>
                <w:color w:val="647167"/>
                <w:sz w:val="15"/>
              </w:rPr>
              <w:t>Persekitaran kerja dengan bantuan AI</w:t>
            </w:r>
          </w:p>
        </w:tc>
        <w:tc>
          <w:tcPr>
            <w:tcW w:type="dxa" w:w="2541"/>
            <w:shd w:fill="FFF8EC"/>
            <w:tcMar>
              <w:top w:w="150" w:type="dxa"/>
              <w:start w:w="120" w:type="dxa"/>
              <w:bottom w:w="150" w:type="dxa"/>
              <w:end w:w="120" w:type="dxa"/>
            </w:tcMar>
          </w:tcPr>
          <w:p>
            <w:pPr>
              <w:jc w:val="center"/>
            </w:pPr>
            <w:r>
              <w:rPr>
                <w:b/>
                <w:color w:val="0F4F2B"/>
                <w:sz w:val="17"/>
              </w:rPr>
              <w:t>Website / Digital HQ</w:t>
              <w:br/>
            </w:r>
            <w:r>
              <w:rPr>
                <w:color w:val="647167"/>
                <w:sz w:val="15"/>
              </w:rPr>
              <w:t>Profil syarikat dan katalog produk</w:t>
            </w:r>
          </w:p>
        </w:tc>
        <w:tc>
          <w:tcPr>
            <w:tcW w:type="dxa" w:w="2541"/>
            <w:shd w:fill="EEF8F0"/>
            <w:tcMar>
              <w:top w:w="150" w:type="dxa"/>
              <w:start w:w="120" w:type="dxa"/>
              <w:bottom w:w="150" w:type="dxa"/>
              <w:end w:w="120" w:type="dxa"/>
            </w:tcMar>
          </w:tcPr>
          <w:p>
            <w:pPr>
              <w:jc w:val="center"/>
            </w:pPr>
            <w:r>
              <w:rPr>
                <w:b/>
                <w:color w:val="0F4F2B"/>
                <w:sz w:val="17"/>
              </w:rPr>
              <w:t>Aliran Kerja Perniagaan</w:t>
              <w:br/>
            </w:r>
            <w:r>
              <w:rPr>
                <w:color w:val="647167"/>
                <w:sz w:val="15"/>
              </w:rPr>
              <w:t>Pesanan, stok, pembekal atau kewangan</w:t>
            </w:r>
          </w:p>
        </w:tc>
        <w:tc>
          <w:tcPr>
            <w:tcW w:type="dxa" w:w="2541"/>
            <w:shd w:fill="FFF8EC"/>
            <w:tcMar>
              <w:top w:w="150" w:type="dxa"/>
              <w:start w:w="120" w:type="dxa"/>
              <w:bottom w:w="150" w:type="dxa"/>
              <w:end w:w="120" w:type="dxa"/>
            </w:tcMar>
          </w:tcPr>
          <w:p>
            <w:pPr>
              <w:jc w:val="center"/>
            </w:pPr>
            <w:r>
              <w:rPr>
                <w:b/>
                <w:color w:val="0F4F2B"/>
                <w:sz w:val="17"/>
              </w:rPr>
              <w:t>Automasi Terpilih</w:t>
              <w:br/>
            </w:r>
            <w:r>
              <w:rPr>
                <w:color w:val="647167"/>
                <w:sz w:val="15"/>
              </w:rPr>
              <w:t>Automasi proses berulang</w:t>
            </w:r>
          </w:p>
        </w:tc>
      </w:tr>
      <w:tr>
        <w:tc>
          <w:tcPr>
            <w:tcW w:type="dxa" w:w="2541"/>
            <w:shd w:fill="EEF8F0"/>
            <w:tcMar>
              <w:top w:w="150" w:type="dxa"/>
              <w:start w:w="120" w:type="dxa"/>
              <w:bottom w:w="150" w:type="dxa"/>
              <w:end w:w="120" w:type="dxa"/>
            </w:tcMar>
          </w:tcPr>
          <w:p>
            <w:pPr>
              <w:jc w:val="center"/>
            </w:pPr>
            <w:r>
              <w:rPr>
                <w:b/>
                <w:color w:val="0F4F2B"/>
                <w:sz w:val="17"/>
              </w:rPr>
              <w:t>Dashboard Pengurusan</w:t>
              <w:br/>
            </w:r>
            <w:r>
              <w:rPr>
                <w:color w:val="647167"/>
                <w:sz w:val="15"/>
              </w:rPr>
              <w:t>Paparan aktiviti dan data operasi utama</w:t>
            </w:r>
          </w:p>
        </w:tc>
        <w:tc>
          <w:tcPr>
            <w:tcW w:type="dxa" w:w="2541"/>
            <w:shd w:fill="FFF8EC"/>
            <w:tcMar>
              <w:top w:w="150" w:type="dxa"/>
              <w:start w:w="120" w:type="dxa"/>
              <w:bottom w:w="150" w:type="dxa"/>
              <w:end w:w="120" w:type="dxa"/>
            </w:tcMar>
          </w:tcPr>
          <w:p>
            <w:pPr>
              <w:jc w:val="center"/>
            </w:pPr>
            <w:r>
              <w:rPr>
                <w:b/>
                <w:color w:val="0F4F2B"/>
                <w:sz w:val="17"/>
              </w:rPr>
              <w:t>Asas SEO</w:t>
              <w:br/>
            </w:r>
            <w:r>
              <w:rPr>
                <w:color w:val="647167"/>
                <w:sz w:val="15"/>
              </w:rPr>
              <w:t>Asas untuk kebolehcarian digital</w:t>
            </w:r>
          </w:p>
        </w:tc>
        <w:tc>
          <w:tcPr>
            <w:tcW w:type="dxa" w:w="2541"/>
            <w:shd w:fill="EEF8F0"/>
            <w:tcMar>
              <w:top w:w="150" w:type="dxa"/>
              <w:start w:w="120" w:type="dxa"/>
              <w:bottom w:w="150" w:type="dxa"/>
              <w:end w:w="120" w:type="dxa"/>
            </w:tcMar>
          </w:tcPr>
          <w:p>
            <w:pPr>
              <w:jc w:val="center"/>
            </w:pPr>
            <w:r>
              <w:rPr>
                <w:b/>
                <w:color w:val="0F4F2B"/>
                <w:sz w:val="17"/>
              </w:rPr>
              <w:t>Asas Keselamatan</w:t>
              <w:br/>
            </w:r>
            <w:r>
              <w:rPr>
                <w:color w:val="647167"/>
                <w:sz w:val="15"/>
              </w:rPr>
              <w:t>Amalan deployment dan kawalan akses</w:t>
            </w:r>
          </w:p>
        </w:tc>
        <w:tc>
          <w:tcPr>
            <w:tcW w:type="dxa" w:w="2541"/>
            <w:shd w:fill="FFF8EC"/>
            <w:tcMar>
              <w:top w:w="150" w:type="dxa"/>
              <w:start w:w="120" w:type="dxa"/>
              <w:bottom w:w="150" w:type="dxa"/>
              <w:end w:w="120" w:type="dxa"/>
            </w:tcMar>
          </w:tcPr>
          <w:p>
            <w:pPr>
              <w:jc w:val="center"/>
            </w:pPr>
            <w:r>
              <w:rPr>
                <w:b/>
                <w:color w:val="0F4F2B"/>
                <w:sz w:val="17"/>
              </w:rPr>
              <w:t>Sokongan Infrastruktur</w:t>
              <w:br/>
            </w:r>
            <w:r>
              <w:rPr>
                <w:color w:val="647167"/>
                <w:sz w:val="15"/>
              </w:rPr>
              <w:t>Cadangan sokongan infrastruktur 12 bulan</w:t>
            </w:r>
          </w:p>
        </w:tc>
      </w:tr>
    </w:tbl>
    <w:p>
      <w:pPr>
        <w:pStyle w:val="Heading1"/>
      </w:pPr>
      <w:r>
        <w:t>5. Model Operasi SME SmartOps</w:t>
      </w:r>
    </w:p>
    <w:p>
      <w:r>
        <w:t>Bagi PKS yang sesuai, SME SmartOps boleh digunakan sebagai lapisan operasi yang menghubungkan pesanan pelanggan dengan inventori, pembekal dan kewangan. Sebagai contoh untuk F&amp;B, satu pesanan boleh mencetuskan pengurangan stok produk atau bahan mengikut recipe/BOM logic. Apabila stok menghampiri paras minimum, sistem boleh mencetuskan peringatan restock. Data transaksi yang sama kemudiannya boleh digunakan untuk dashboard pengurusan dan analisis dengan bantuan AI.</w:t>
      </w:r>
    </w:p>
    <w:tbl>
      <w:tblPr>
        <w:tblW w:type="auto" w:w="0"/>
        <w:jc w:val="center"/>
        <w:tblLook w:firstColumn="1" w:firstRow="1" w:lastColumn="0" w:lastRow="0" w:noHBand="0" w:noVBand="1" w:val="04A0"/>
      </w:tblPr>
      <w:tblGrid>
        <w:gridCol w:w="1452"/>
        <w:gridCol w:w="1452"/>
        <w:gridCol w:w="1452"/>
        <w:gridCol w:w="1452"/>
        <w:gridCol w:w="1452"/>
        <w:gridCol w:w="1452"/>
        <w:gridCol w:w="1452"/>
      </w:tblGrid>
      <w:tr>
        <w:tc>
          <w:tcPr>
            <w:tcW w:type="dxa" w:w="1452"/>
            <w:shd w:fill="F28C28"/>
            <w:tcMar>
              <w:top w:w="95" w:type="dxa"/>
              <w:start w:w="50" w:type="dxa"/>
              <w:bottom w:w="95" w:type="dxa"/>
              <w:end w:w="50" w:type="dxa"/>
            </w:tcMar>
          </w:tcPr>
          <w:p>
            <w:pPr>
              <w:jc w:val="center"/>
            </w:pPr>
            <w:r>
              <w:rPr>
                <w:b/>
                <w:color w:val="311C09"/>
                <w:sz w:val="14"/>
              </w:rPr>
              <w:t>PRODUK</w:t>
            </w:r>
          </w:p>
        </w:tc>
        <w:tc>
          <w:tcPr>
            <w:tcW w:type="dxa" w:w="1452"/>
            <w:shd w:fill="EEF8F0"/>
            <w:tcMar>
              <w:top w:w="95" w:type="dxa"/>
              <w:start w:w="50" w:type="dxa"/>
              <w:bottom w:w="95" w:type="dxa"/>
              <w:end w:w="50" w:type="dxa"/>
            </w:tcMar>
          </w:tcPr>
          <w:p>
            <w:pPr>
              <w:jc w:val="center"/>
            </w:pPr>
            <w:r>
              <w:rPr>
                <w:b/>
                <w:color w:val="0F4F2B"/>
                <w:sz w:val="14"/>
              </w:rPr>
              <w:t>KATALOG</w:t>
            </w:r>
          </w:p>
        </w:tc>
        <w:tc>
          <w:tcPr>
            <w:tcW w:type="dxa" w:w="1452"/>
            <w:shd w:fill="FFFFFF"/>
            <w:tcMar>
              <w:top w:w="95" w:type="dxa"/>
              <w:start w:w="50" w:type="dxa"/>
              <w:bottom w:w="95" w:type="dxa"/>
              <w:end w:w="50" w:type="dxa"/>
            </w:tcMar>
          </w:tcPr>
          <w:p>
            <w:pPr>
              <w:jc w:val="center"/>
            </w:pPr>
            <w:r>
              <w:rPr>
                <w:b/>
                <w:color w:val="0F4F2B"/>
                <w:sz w:val="14"/>
              </w:rPr>
              <w:t>JUALAN</w:t>
            </w:r>
          </w:p>
        </w:tc>
        <w:tc>
          <w:tcPr>
            <w:tcW w:type="dxa" w:w="1452"/>
            <w:shd w:fill="EEF8F0"/>
            <w:tcMar>
              <w:top w:w="95" w:type="dxa"/>
              <w:start w:w="50" w:type="dxa"/>
              <w:bottom w:w="95" w:type="dxa"/>
              <w:end w:w="50" w:type="dxa"/>
            </w:tcMar>
          </w:tcPr>
          <w:p>
            <w:pPr>
              <w:jc w:val="center"/>
            </w:pPr>
            <w:r>
              <w:rPr>
                <w:b/>
                <w:color w:val="0F4F2B"/>
                <w:sz w:val="14"/>
              </w:rPr>
              <w:t>STOK</w:t>
            </w:r>
          </w:p>
        </w:tc>
        <w:tc>
          <w:tcPr>
            <w:tcW w:type="dxa" w:w="1452"/>
            <w:shd w:fill="FFFFFF"/>
            <w:tcMar>
              <w:top w:w="95" w:type="dxa"/>
              <w:start w:w="50" w:type="dxa"/>
              <w:bottom w:w="95" w:type="dxa"/>
              <w:end w:w="50" w:type="dxa"/>
            </w:tcMar>
          </w:tcPr>
          <w:p>
            <w:pPr>
              <w:jc w:val="center"/>
            </w:pPr>
            <w:r>
              <w:rPr>
                <w:b/>
                <w:color w:val="0F4F2B"/>
                <w:sz w:val="14"/>
              </w:rPr>
              <w:t>PEMBEKAL</w:t>
            </w:r>
          </w:p>
        </w:tc>
        <w:tc>
          <w:tcPr>
            <w:tcW w:type="dxa" w:w="1452"/>
            <w:shd w:fill="EEF8F0"/>
            <w:tcMar>
              <w:top w:w="95" w:type="dxa"/>
              <w:start w:w="50" w:type="dxa"/>
              <w:bottom w:w="95" w:type="dxa"/>
              <w:end w:w="50" w:type="dxa"/>
            </w:tcMar>
          </w:tcPr>
          <w:p>
            <w:pPr>
              <w:jc w:val="center"/>
            </w:pPr>
            <w:r>
              <w:rPr>
                <w:b/>
                <w:color w:val="0F4F2B"/>
                <w:sz w:val="14"/>
              </w:rPr>
              <w:t>KEWANGAN</w:t>
            </w:r>
          </w:p>
        </w:tc>
        <w:tc>
          <w:tcPr>
            <w:tcW w:type="dxa" w:w="1452"/>
            <w:shd w:fill="F28C28"/>
            <w:tcMar>
              <w:top w:w="95" w:type="dxa"/>
              <w:start w:w="50" w:type="dxa"/>
              <w:bottom w:w="95" w:type="dxa"/>
              <w:end w:w="50" w:type="dxa"/>
            </w:tcMar>
          </w:tcPr>
          <w:p>
            <w:pPr>
              <w:jc w:val="center"/>
            </w:pPr>
            <w:r>
              <w:rPr>
                <w:b/>
                <w:color w:val="311C09"/>
                <w:sz w:val="14"/>
              </w:rPr>
              <w:t>AI</w:t>
            </w:r>
          </w:p>
        </w:tc>
      </w:tr>
    </w:tbl>
    <w:p>
      <w:pPr>
        <w:pStyle w:val="Heading1"/>
      </w:pPr>
      <w:r>
        <w:t>6. Pelaksanaan dan Pengukuran</w:t>
      </w:r>
    </w:p>
    <w:tbl>
      <w:tblPr>
        <w:tblW w:type="auto" w:w="0"/>
        <w:jc w:val="center"/>
        <w:tblLook w:firstColumn="1" w:firstRow="1" w:lastColumn="0" w:lastRow="0" w:noHBand="0" w:noVBand="1" w:val="04A0"/>
      </w:tblPr>
      <w:tblGrid>
        <w:gridCol w:w="2541"/>
        <w:gridCol w:w="2541"/>
        <w:gridCol w:w="2541"/>
        <w:gridCol w:w="2541"/>
      </w:tblGrid>
      <w:tr>
        <w:tc>
          <w:tcPr>
            <w:tcW w:type="dxa" w:w="2541"/>
            <w:shd w:fill="F7FBF8"/>
            <w:tcMar>
              <w:top w:w="130" w:type="dxa"/>
              <w:start w:w="90" w:type="dxa"/>
              <w:bottom w:w="130" w:type="dxa"/>
              <w:end w:w="90" w:type="dxa"/>
            </w:tcMar>
          </w:tcPr>
          <w:p>
            <w:pPr>
              <w:jc w:val="center"/>
            </w:pPr>
            <w:r>
              <w:rPr>
                <w:b/>
                <w:color w:val="D97918"/>
                <w:sz w:val="14"/>
              </w:rPr>
              <w:t>FASA 01</w:t>
              <w:br/>
            </w:r>
            <w:r>
              <w:rPr>
                <w:b/>
                <w:color w:val="0F4F2B"/>
                <w:sz w:val="17"/>
              </w:rPr>
              <w:t>Asas Digital</w:t>
              <w:br/>
            </w:r>
            <w:r>
              <w:rPr>
                <w:color w:val="647167"/>
                <w:sz w:val="14"/>
              </w:rPr>
              <w:t>Data syarikat/produk, website dan persekitaran AI</w:t>
            </w:r>
          </w:p>
        </w:tc>
        <w:tc>
          <w:tcPr>
            <w:tcW w:type="dxa" w:w="2541"/>
            <w:shd w:fill="F7FBF8"/>
            <w:tcMar>
              <w:top w:w="130" w:type="dxa"/>
              <w:start w:w="90" w:type="dxa"/>
              <w:bottom w:w="130" w:type="dxa"/>
              <w:end w:w="90" w:type="dxa"/>
            </w:tcMar>
          </w:tcPr>
          <w:p>
            <w:pPr>
              <w:jc w:val="center"/>
            </w:pPr>
            <w:r>
              <w:rPr>
                <w:b/>
                <w:color w:val="D97918"/>
                <w:sz w:val="14"/>
              </w:rPr>
              <w:t>FASA 02</w:t>
              <w:br/>
            </w:r>
            <w:r>
              <w:rPr>
                <w:b/>
                <w:color w:val="0F4F2B"/>
                <w:sz w:val="17"/>
              </w:rPr>
              <w:t>Jualan &amp; Aliran Kerja</w:t>
              <w:br/>
            </w:r>
            <w:r>
              <w:rPr>
                <w:color w:val="647167"/>
                <w:sz w:val="14"/>
              </w:rPr>
              <w:t>Katalog, pesanan, inventori dan pembekal</w:t>
            </w:r>
          </w:p>
        </w:tc>
        <w:tc>
          <w:tcPr>
            <w:tcW w:type="dxa" w:w="2541"/>
            <w:shd w:fill="F7FBF8"/>
            <w:tcMar>
              <w:top w:w="130" w:type="dxa"/>
              <w:start w:w="90" w:type="dxa"/>
              <w:bottom w:w="130" w:type="dxa"/>
              <w:end w:w="90" w:type="dxa"/>
            </w:tcMar>
          </w:tcPr>
          <w:p>
            <w:pPr>
              <w:jc w:val="center"/>
            </w:pPr>
            <w:r>
              <w:rPr>
                <w:b/>
                <w:color w:val="D97918"/>
                <w:sz w:val="14"/>
              </w:rPr>
              <w:t>FASA 03</w:t>
              <w:br/>
            </w:r>
            <w:r>
              <w:rPr>
                <w:b/>
                <w:color w:val="0F4F2B"/>
                <w:sz w:val="17"/>
              </w:rPr>
              <w:t>Deploy &amp; Lindungi</w:t>
              <w:br/>
            </w:r>
            <w:r>
              <w:rPr>
                <w:color w:val="647167"/>
                <w:sz w:val="14"/>
              </w:rPr>
              <w:t>Cloud deployment, asas SEO dan keselamatan</w:t>
            </w:r>
          </w:p>
        </w:tc>
        <w:tc>
          <w:tcPr>
            <w:tcW w:type="dxa" w:w="2541"/>
            <w:shd w:fill="F7FBF8"/>
            <w:tcMar>
              <w:top w:w="130" w:type="dxa"/>
              <w:start w:w="90" w:type="dxa"/>
              <w:bottom w:w="130" w:type="dxa"/>
              <w:end w:w="90" w:type="dxa"/>
            </w:tcMar>
          </w:tcPr>
          <w:p>
            <w:pPr>
              <w:jc w:val="center"/>
            </w:pPr>
            <w:r>
              <w:rPr>
                <w:b/>
                <w:color w:val="D97918"/>
                <w:sz w:val="14"/>
              </w:rPr>
              <w:t>FASA 04</w:t>
              <w:br/>
            </w:r>
            <w:r>
              <w:rPr>
                <w:b/>
                <w:color w:val="0F4F2B"/>
                <w:sz w:val="17"/>
              </w:rPr>
              <w:t>Guna &amp; Ukur</w:t>
              <w:br/>
            </w:r>
            <w:r>
              <w:rPr>
                <w:color w:val="647167"/>
                <w:sz w:val="14"/>
              </w:rPr>
              <w:t>Penggunaan, penambahbaikan dan pemantauan 90 hari</w:t>
            </w:r>
          </w:p>
        </w:tc>
      </w:tr>
    </w:tbl>
    <w:p>
      <w:pPr>
        <w:pStyle w:val="Heading1"/>
      </w:pPr>
      <w:r>
        <w:t>7. Petunjuk Kejayaan Pilot</w:t>
      </w:r>
    </w:p>
    <w:p>
      <w:r>
        <w:rPr>
          <w:b/>
          <w:color w:val="0F4F2B"/>
        </w:rPr>
        <w:t xml:space="preserve">• 30 deployment PKS: </w:t>
      </w:r>
      <w:r>
        <w:t>deployment kerja diselesaikan untuk kumpulan pilot terpilih.</w:t>
        <w:br/>
      </w:r>
      <w:r>
        <w:rPr>
          <w:b/>
          <w:color w:val="0F4F2B"/>
        </w:rPr>
        <w:t xml:space="preserve">• 30 Digital HQ / website: </w:t>
      </w:r>
      <w:r>
        <w:t>tertakluk kepada skop akhir dan kesesuaian peserta.</w:t>
        <w:br/>
      </w:r>
      <w:r>
        <w:rPr>
          <w:b/>
          <w:color w:val="0F4F2B"/>
        </w:rPr>
        <w:t xml:space="preserve">• Pemantauan penerimaan sistem: </w:t>
      </w:r>
      <w:r>
        <w:t>cadangan 90 hari selepas deployment.</w:t>
        <w:br/>
      </w:r>
      <w:r>
        <w:rPr>
          <w:b/>
          <w:color w:val="0F4F2B"/>
        </w:rPr>
        <w:t xml:space="preserve">• Penggunaan operasi: </w:t>
      </w:r>
      <w:r>
        <w:t>pesanan, workflow, dashboard atau automasi digunakan mengikut kesesuaian.</w:t>
        <w:br/>
      </w:r>
      <w:r>
        <w:rPr>
          <w:b/>
          <w:color w:val="0F4F2B"/>
        </w:rPr>
        <w:t xml:space="preserve">• Kerangka program boleh diulang: </w:t>
      </w:r>
      <w:r>
        <w:t>model pelaksanaan didokumentasikan untuk penilaian dan scale-up.</w:t>
        <w:br/>
      </w:r>
    </w:p>
    <w:p>
      <w:pPr>
        <w:pStyle w:val="Heading1"/>
      </w:pPr>
      <w:r>
        <w:t>8. Rangka Kerja Komersial</w:t>
      </w:r>
    </w:p>
    <w:p>
      <w:r>
        <w:t>Nilai komersial tidak dimuktamadkan dalam Ringkasan Eksekutif ini. Harga akhir hendaklah dipersetujui selepas FAMA dan AINNA mengesahkan profil peserta, tahap penyesuaian sistem, keperluan infrastruktur, tempoh sokongan dan skop pelaporan. Rangka kos dicadangkan meliputi pelaksanaan program, pembangunan website/sistem, AI dan infrastruktur, sokongan adoption serta pengukuran dan pelaporan.</w:t>
      </w:r>
    </w:p>
    <w:p/>
    <w:tbl>
      <w:tblPr>
        <w:tblW w:type="auto" w:w="0"/>
        <w:jc w:val="center"/>
        <w:tblLook w:firstColumn="1" w:firstRow="1" w:lastColumn="0" w:lastRow="0" w:noHBand="0" w:noVBand="1" w:val="04A0"/>
      </w:tblPr>
      <w:tblGrid>
        <w:gridCol w:w="10166"/>
      </w:tblGrid>
      <w:tr>
        <w:tc>
          <w:tcPr>
            <w:tcW w:type="dxa" w:w="10166"/>
            <w:shd w:fill="0F4F2B"/>
            <w:tcMar>
              <w:top w:w="180" w:type="dxa"/>
              <w:start w:w="220" w:type="dxa"/>
              <w:bottom w:w="180" w:type="dxa"/>
              <w:end w:w="220" w:type="dxa"/>
            </w:tcMar>
          </w:tcPr>
          <w:p>
            <w:pPr>
              <w:jc w:val="center"/>
            </w:pPr>
            <w:r>
              <w:rPr>
                <w:b/>
                <w:color w:val="FFC57D"/>
                <w:sz w:val="18"/>
              </w:rPr>
              <w:t>LANGKAH SETERUSNYA YANG DICADANGKAN</w:t>
              <w:br/>
            </w:r>
            <w:r>
              <w:rPr>
                <w:b/>
                <w:color w:val="FFFFFF"/>
                <w:sz w:val="23"/>
              </w:rPr>
              <w:t>Pengesahan skop bersama → Pemilihan 30 PKS pilot → Pengesahan skop komersial → Kick-off pelaksanaan</w:t>
            </w:r>
          </w:p>
        </w:tc>
      </w:tr>
    </w:tbl>
    <w:p>
      <w:pPr>
        <w:jc w:val="center"/>
      </w:pPr>
      <w:r>
        <w:rPr>
          <w:color w:val="78827A"/>
          <w:sz w:val="16"/>
        </w:rPr>
        <w:t>Disediakan oleh AINNA  |  FAMA × AINNA Program Transformasi Digital &amp; AI PKS  |  September 2026</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28C84"/>
        <w:sz w:val="15"/>
      </w:rPr>
      <w:t>FAMA × AINNA  |  Ringkasan Eksekutif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F4F2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F4F2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