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30"/>
        </w:rPr>
        <w:t>Response to Second-Round Reviewer Comments</w:t>
      </w:r>
    </w:p>
    <w:p>
      <w:pPr>
        <w:jc w:val="center"/>
      </w:pPr>
      <w:r>
        <w:rPr>
          <w:rFonts w:ascii="Arial" w:hAnsi="Arial" w:eastAsia="Arial"/>
          <w:b/>
          <w:sz w:val="22"/>
        </w:rPr>
        <w:t>Digital Transformation Capability as a Driver of Agropreneurial Performance in Social Commerce Context</w:t>
      </w:r>
    </w:p>
    <w:p>
      <w:pPr>
        <w:jc w:val="both"/>
      </w:pPr>
      <w:r>
        <w:rPr>
          <w:rFonts w:ascii="Arial" w:hAnsi="Arial" w:eastAsia="Arial"/>
          <w:b w:val="0"/>
          <w:sz w:val="20"/>
        </w:rPr>
        <w:t>We thank the editor and reviewer for the focused comments. The manuscript has been revised selectively while retaining the title, ARBMS template, hypotheses, conceptual framework, dataset, design, statistical claims, tables, references and appendices. No unavailable statistical value has been reconstructed or fabricated.</w:t>
      </w:r>
    </w:p>
    <w:p>
      <w:pPr>
        <w:pStyle w:val="Heading1"/>
      </w:pPr>
      <w:r>
        <w:rPr>
          <w:rFonts w:ascii="Arial" w:hAnsi="Arial" w:eastAsia="Arial"/>
          <w:b/>
          <w:sz w:val="26"/>
        </w:rPr>
        <w:t>Comment 1: Structural-model magnitudes</w:t>
      </w:r>
    </w:p>
    <w:p>
      <w:pPr>
        <w:jc w:val="both"/>
      </w:pPr>
      <w:r>
        <w:rPr>
          <w:rFonts w:ascii="Arial" w:hAnsi="Arial" w:eastAsia="Arial"/>
          <w:b/>
          <w:sz w:val="20"/>
        </w:rPr>
        <w:t>Reviewer comment:</w:t>
      </w:r>
      <w:r>
        <w:rPr>
          <w:rFonts w:ascii="Arial" w:hAnsi="Arial" w:eastAsia="Arial"/>
          <w:b w:val="0"/>
          <w:sz w:val="20"/>
        </w:rPr>
        <w:t xml:space="preserve"> The abstract reports significance but gives no path coefficients, R2 values or effect sizes.</w:t>
      </w:r>
    </w:p>
    <w:p>
      <w:pPr>
        <w:jc w:val="both"/>
      </w:pPr>
      <w:r>
        <w:rPr>
          <w:rFonts w:ascii="Arial" w:hAnsi="Arial" w:eastAsia="Arial"/>
          <w:b/>
          <w:sz w:val="20"/>
        </w:rPr>
        <w:t>Response:</w:t>
      </w:r>
      <w:r>
        <w:rPr>
          <w:rFonts w:ascii="Arial" w:hAnsi="Arial" w:eastAsia="Arial"/>
          <w:b w:val="0"/>
          <w:sz w:val="20"/>
        </w:rPr>
        <w:t xml:space="preserve"> The supplied manuscript and its embedded tables were audited for path coefficients, beta values, R2, f2, Q2, SRMR, confidence intervals, t-values, p-values and indirect-effect magnitudes. None was present. The abstract now states explicitly that the archival record did not preserve the original structural-model output and lists the quantities that cannot be reported. The analytical-procedures boundary has been retained, the hypothesis discussion avoids ranking effects, the mediation discussion states that type and magnitude cannot be determined, and the limitation section now consolidates the missing-output implications.</w:t>
      </w:r>
    </w:p>
    <w:p>
      <w:pPr>
        <w:jc w:val="both"/>
      </w:pPr>
      <w:r>
        <w:rPr>
          <w:rFonts w:ascii="Arial" w:hAnsi="Arial" w:eastAsia="Arial"/>
          <w:b/>
          <w:sz w:val="20"/>
        </w:rPr>
        <w:t>Locations:</w:t>
      </w:r>
      <w:r>
        <w:rPr>
          <w:rFonts w:ascii="Arial" w:hAnsi="Arial" w:eastAsia="Arial"/>
          <w:b w:val="0"/>
          <w:sz w:val="20"/>
        </w:rPr>
        <w:t xml:space="preserve"> Abstract; Section 2.3 Analytical Procedures; Section 3.2 Hypothesis Testing Results; Integrated discussion, opening and H4 paragraphs; Limitations and future research, first paragraph.</w:t>
      </w:r>
    </w:p>
    <w:p>
      <w:pPr>
        <w:pStyle w:val="Heading1"/>
      </w:pPr>
      <w:r>
        <w:rPr>
          <w:rFonts w:ascii="Arial" w:hAnsi="Arial" w:eastAsia="Arial"/>
          <w:b/>
          <w:sz w:val="26"/>
        </w:rPr>
        <w:t>Comment 2: Integration of RBV, DCT and Institutional Theory</w:t>
      </w:r>
    </w:p>
    <w:p>
      <w:pPr>
        <w:jc w:val="both"/>
      </w:pPr>
      <w:r>
        <w:rPr>
          <w:rFonts w:ascii="Arial" w:hAnsi="Arial" w:eastAsia="Arial"/>
          <w:b/>
          <w:sz w:val="20"/>
        </w:rPr>
        <w:t>Reviewer comment:</w:t>
      </w:r>
      <w:r>
        <w:rPr>
          <w:rFonts w:ascii="Arial" w:hAnsi="Arial" w:eastAsia="Arial"/>
          <w:b w:val="0"/>
          <w:sz w:val="20"/>
        </w:rPr>
        <w:t xml:space="preserve"> The manuscript does not sufficiently explain how the three theories are integrated or whether they conflict.</w:t>
      </w:r>
    </w:p>
    <w:p>
      <w:pPr>
        <w:jc w:val="both"/>
      </w:pPr>
      <w:r>
        <w:rPr>
          <w:rFonts w:ascii="Arial" w:hAnsi="Arial" w:eastAsia="Arial"/>
          <w:b/>
          <w:sz w:val="20"/>
        </w:rPr>
        <w:t>Response:</w:t>
      </w:r>
      <w:r>
        <w:rPr>
          <w:rFonts w:ascii="Arial" w:hAnsi="Arial" w:eastAsia="Arial"/>
          <w:b w:val="0"/>
          <w:sz w:val="20"/>
        </w:rPr>
        <w:t xml:space="preserve"> The theoretical integration section has been replaced with an approximately 1,000-word synthesis. It distinguishes RBV's resource-base explanation, DCT's reconfiguration process and Institutional Theory's enabling and constraining context. The revision explains complementarity, levels of analysis, boundary conditions and tensions between differentiation, adaptation, conformity and legitimacy. It also explains why no single theory is sufficient and maps each hypothesis to the integrated logic.</w:t>
      </w:r>
    </w:p>
    <w:p>
      <w:pPr>
        <w:jc w:val="both"/>
      </w:pPr>
      <w:r>
        <w:rPr>
          <w:rFonts w:ascii="Arial" w:hAnsi="Arial" w:eastAsia="Arial"/>
          <w:b/>
          <w:sz w:val="20"/>
        </w:rPr>
        <w:t>Locations:</w:t>
      </w:r>
      <w:r>
        <w:rPr>
          <w:rFonts w:ascii="Arial" w:hAnsi="Arial" w:eastAsia="Arial"/>
          <w:b w:val="0"/>
          <w:sz w:val="20"/>
        </w:rPr>
        <w:t xml:space="preserve"> Section 1, Theoretical integration and expected relationships; new Figure 1; new Figure 2; Integrated discussion, H1-H4 paragraphs.</w:t>
      </w:r>
    </w:p>
    <w:p>
      <w:pPr>
        <w:pStyle w:val="Heading1"/>
      </w:pPr>
      <w:r>
        <w:rPr>
          <w:rFonts w:ascii="Arial" w:hAnsi="Arial" w:eastAsia="Arial"/>
          <w:b/>
          <w:sz w:val="26"/>
        </w:rPr>
        <w:t>Comment 3: Overstated contribution</w:t>
      </w:r>
    </w:p>
    <w:p>
      <w:pPr>
        <w:jc w:val="both"/>
      </w:pPr>
      <w:r>
        <w:rPr>
          <w:rFonts w:ascii="Arial" w:hAnsi="Arial" w:eastAsia="Arial"/>
          <w:b/>
          <w:sz w:val="20"/>
        </w:rPr>
        <w:t>Reviewer comment:</w:t>
      </w:r>
      <w:r>
        <w:rPr>
          <w:rFonts w:ascii="Arial" w:hAnsi="Arial" w:eastAsia="Arial"/>
          <w:b w:val="0"/>
          <w:sz w:val="20"/>
        </w:rPr>
        <w:t xml:space="preserve"> The threefold contribution is overstated.</w:t>
      </w:r>
    </w:p>
    <w:p>
      <w:pPr>
        <w:jc w:val="both"/>
      </w:pPr>
      <w:r>
        <w:rPr>
          <w:rFonts w:ascii="Arial" w:hAnsi="Arial" w:eastAsia="Arial"/>
          <w:b/>
          <w:sz w:val="20"/>
        </w:rPr>
        <w:t>Response:</w:t>
      </w:r>
      <w:r>
        <w:rPr>
          <w:rFonts w:ascii="Arial" w:hAnsi="Arial" w:eastAsia="Arial"/>
          <w:b w:val="0"/>
          <w:sz w:val="20"/>
        </w:rPr>
        <w:t xml:space="preserve"> The former threefold claim has been removed. The contribution is now framed with proportionate terms including extends, refines, contextualises, integrates and contributes to understanding. It expressly describes the contribution as integrative, acknowledges prior constituent relationships, and bounds applicability by the archival and programme context.</w:t>
      </w:r>
    </w:p>
    <w:p>
      <w:pPr>
        <w:jc w:val="both"/>
      </w:pPr>
      <w:r>
        <w:rPr>
          <w:rFonts w:ascii="Arial" w:hAnsi="Arial" w:eastAsia="Arial"/>
          <w:b/>
          <w:sz w:val="20"/>
        </w:rPr>
        <w:t>Locations:</w:t>
      </w:r>
      <w:r>
        <w:rPr>
          <w:rFonts w:ascii="Arial" w:hAnsi="Arial" w:eastAsia="Arial"/>
          <w:b w:val="0"/>
          <w:sz w:val="20"/>
        </w:rPr>
        <w:t xml:space="preserve"> Section 4, Major findings and theoretical contributions, all three revised paragraphs.</w:t>
      </w:r>
    </w:p>
    <w:p>
      <w:pPr>
        <w:pStyle w:val="Heading1"/>
      </w:pPr>
      <w:r>
        <w:rPr>
          <w:rFonts w:ascii="Arial" w:hAnsi="Arial" w:eastAsia="Arial"/>
          <w:b/>
          <w:sz w:val="26"/>
        </w:rPr>
        <w:t>Comment 4: Selection bias and institutional context</w:t>
      </w:r>
    </w:p>
    <w:p>
      <w:pPr>
        <w:jc w:val="both"/>
      </w:pPr>
      <w:r>
        <w:rPr>
          <w:rFonts w:ascii="Arial" w:hAnsi="Arial" w:eastAsia="Arial"/>
          <w:b/>
          <w:sz w:val="20"/>
        </w:rPr>
        <w:t>Reviewer comment:</w:t>
      </w:r>
      <w:r>
        <w:rPr>
          <w:rFonts w:ascii="Arial" w:hAnsi="Arial" w:eastAsia="Arial"/>
          <w:b w:val="0"/>
          <w:sz w:val="20"/>
        </w:rPr>
        <w:t xml:space="preserve"> The paper does not discuss political pressure, selection bias or whether FAMA selected high-performing firms.</w:t>
      </w:r>
    </w:p>
    <w:p>
      <w:pPr>
        <w:jc w:val="both"/>
      </w:pPr>
      <w:r>
        <w:rPr>
          <w:rFonts w:ascii="Arial" w:hAnsi="Arial" w:eastAsia="Arial"/>
          <w:b/>
          <w:sz w:val="20"/>
        </w:rPr>
        <w:t>Response:</w:t>
      </w:r>
      <w:r>
        <w:rPr>
          <w:rFonts w:ascii="Arial" w:hAnsi="Arial" w:eastAsia="Arial"/>
          <w:b w:val="0"/>
          <w:sz w:val="20"/>
        </w:rPr>
        <w:t xml:space="preserve"> A dedicated subsection addresses self-selection, agency nomination, selection criteria, uneven regional representation, possible prior-performance selection, political and administrative priorities, performance emphasis, survivorship bias, administrative reporting bias and external validity. The wording remains balanced and does not attribute improper conduct to FAMA. The limitations section also carries these issues into the interpretation boundary.</w:t>
      </w:r>
    </w:p>
    <w:p>
      <w:pPr>
        <w:jc w:val="both"/>
      </w:pPr>
      <w:r>
        <w:rPr>
          <w:rFonts w:ascii="Arial" w:hAnsi="Arial" w:eastAsia="Arial"/>
          <w:b/>
          <w:sz w:val="20"/>
        </w:rPr>
        <w:t>Locations:</w:t>
      </w:r>
      <w:r>
        <w:rPr>
          <w:rFonts w:ascii="Arial" w:hAnsi="Arial" w:eastAsia="Arial"/>
          <w:b w:val="0"/>
          <w:sz w:val="20"/>
        </w:rPr>
        <w:t xml:space="preserve"> New subsection Potential Selection Bias and Institutional Context, immediately before Section 4; Limitations and future research, first paragraph.</w:t>
      </w:r>
    </w:p>
    <w:p>
      <w:pPr>
        <w:pStyle w:val="Heading1"/>
      </w:pPr>
      <w:r>
        <w:rPr>
          <w:rFonts w:ascii="Arial" w:hAnsi="Arial" w:eastAsia="Arial"/>
          <w:b/>
          <w:sz w:val="26"/>
        </w:rPr>
        <w:t>Comment 5: Focused future research</w:t>
      </w:r>
    </w:p>
    <w:p>
      <w:pPr>
        <w:jc w:val="both"/>
      </w:pPr>
      <w:r>
        <w:rPr>
          <w:rFonts w:ascii="Arial" w:hAnsi="Arial" w:eastAsia="Arial"/>
          <w:b/>
          <w:sz w:val="20"/>
        </w:rPr>
        <w:t>Reviewer comment:</w:t>
      </w:r>
      <w:r>
        <w:rPr>
          <w:rFonts w:ascii="Arial" w:hAnsi="Arial" w:eastAsia="Arial"/>
          <w:b w:val="0"/>
          <w:sz w:val="20"/>
        </w:rPr>
        <w:t xml:space="preserve"> Future recommendations are too broad.</w:t>
      </w:r>
    </w:p>
    <w:p>
      <w:pPr>
        <w:jc w:val="both"/>
      </w:pPr>
      <w:r>
        <w:rPr>
          <w:rFonts w:ascii="Arial" w:hAnsi="Arial" w:eastAsia="Arial"/>
          <w:b/>
          <w:sz w:val="20"/>
        </w:rPr>
        <w:t>Response:</w:t>
      </w:r>
      <w:r>
        <w:rPr>
          <w:rFonts w:ascii="Arial" w:hAnsi="Arial" w:eastAsia="Arial"/>
          <w:b w:val="0"/>
          <w:sz w:val="20"/>
        </w:rPr>
        <w:t xml:space="preserve"> The previous shopping list has been replaced by exactly six priorities: longitudinal capability development, cross-platform comparison, AI-enabled digital capability, qualitative comparison of high- and low-performing agropreneurs including zero-GMV firms, multilevel analysis and cross-country validation. Each item states the present gap, why the design is needed and its expected contribution.</w:t>
      </w:r>
    </w:p>
    <w:p>
      <w:pPr>
        <w:jc w:val="both"/>
      </w:pPr>
      <w:r>
        <w:rPr>
          <w:rFonts w:ascii="Arial" w:hAnsi="Arial" w:eastAsia="Arial"/>
          <w:b/>
          <w:sz w:val="20"/>
        </w:rPr>
        <w:t>Locations:</w:t>
      </w:r>
      <w:r>
        <w:rPr>
          <w:rFonts w:ascii="Arial" w:hAnsi="Arial" w:eastAsia="Arial"/>
          <w:b w:val="0"/>
          <w:sz w:val="20"/>
        </w:rPr>
        <w:t xml:space="preserve"> Section 4, Limitations and future research, second through seventh paragraphs.</w:t>
      </w:r>
    </w:p>
    <w:p>
      <w:pPr>
        <w:pStyle w:val="Heading1"/>
      </w:pPr>
      <w:r>
        <w:rPr>
          <w:rFonts w:ascii="Arial" w:hAnsi="Arial" w:eastAsia="Arial"/>
          <w:b/>
          <w:sz w:val="26"/>
        </w:rPr>
        <w:t>Comment 6: Figures explaining findings</w:t>
      </w:r>
    </w:p>
    <w:p>
      <w:pPr>
        <w:jc w:val="both"/>
      </w:pPr>
      <w:r>
        <w:rPr>
          <w:rFonts w:ascii="Arial" w:hAnsi="Arial" w:eastAsia="Arial"/>
          <w:b/>
          <w:sz w:val="20"/>
        </w:rPr>
        <w:t>Reviewer comment:</w:t>
      </w:r>
      <w:r>
        <w:rPr>
          <w:rFonts w:ascii="Arial" w:hAnsi="Arial" w:eastAsia="Arial"/>
          <w:b w:val="0"/>
          <w:sz w:val="20"/>
        </w:rPr>
        <w:t xml:space="preserve"> Include figures or graphs explaining findings.</w:t>
      </w:r>
    </w:p>
    <w:p>
      <w:pPr>
        <w:jc w:val="both"/>
      </w:pPr>
      <w:r>
        <w:rPr>
          <w:rFonts w:ascii="Arial" w:hAnsi="Arial" w:eastAsia="Arial"/>
          <w:b/>
          <w:sz w:val="20"/>
        </w:rPr>
        <w:t>Response:</w:t>
      </w:r>
      <w:r>
        <w:rPr>
          <w:rFonts w:ascii="Arial" w:hAnsi="Arial" w:eastAsia="Arial"/>
          <w:b w:val="0"/>
          <w:sz w:val="20"/>
        </w:rPr>
        <w:t xml:space="preserve"> Five monochrome, publication-quality figures have been added without duplicating existing tables: an integrated theoretical framework, structural research model, monthly programme-performance line graph, sales-channel distribution chart and integrated capability mechanism. Figure 4 uses Appendix Table A3 because those values reconcile with the monthly records; its note discloses the unresolved conflict with main Table 3 rather than silently replacing either source.</w:t>
      </w:r>
    </w:p>
    <w:p>
      <w:pPr>
        <w:jc w:val="both"/>
      </w:pPr>
      <w:r>
        <w:rPr>
          <w:rFonts w:ascii="Arial" w:hAnsi="Arial" w:eastAsia="Arial"/>
          <w:b/>
          <w:sz w:val="20"/>
        </w:rPr>
        <w:t>Locations:</w:t>
      </w:r>
      <w:r>
        <w:rPr>
          <w:rFonts w:ascii="Arial" w:hAnsi="Arial" w:eastAsia="Arial"/>
          <w:b w:val="0"/>
          <w:sz w:val="20"/>
        </w:rPr>
        <w:t xml:space="preserve"> Figures 1-2 after Theoretical integration and expected relationships; Figures 3-4 before Integrated discussion; Figure 5 before Section 4.</w:t>
      </w:r>
    </w:p>
    <w:p>
      <w:pPr>
        <w:pStyle w:val="Heading1"/>
      </w:pPr>
      <w:r>
        <w:rPr>
          <w:rFonts w:ascii="Arial" w:hAnsi="Arial" w:eastAsia="Arial"/>
          <w:b/>
          <w:sz w:val="26"/>
        </w:rPr>
        <w:t>Additional revision: Discussion, limitations and conclusion</w:t>
      </w:r>
    </w:p>
    <w:p>
      <w:pPr>
        <w:jc w:val="both"/>
      </w:pPr>
      <w:r>
        <w:rPr>
          <w:rFonts w:ascii="Arial" w:hAnsi="Arial" w:eastAsia="Arial"/>
          <w:b/>
          <w:sz w:val="20"/>
        </w:rPr>
        <w:t>Reviewer comment:</w:t>
      </w:r>
      <w:r>
        <w:rPr>
          <w:rFonts w:ascii="Arial" w:hAnsi="Arial" w:eastAsia="Arial"/>
          <w:b w:val="0"/>
          <w:sz w:val="20"/>
        </w:rPr>
        <w:t xml:space="preserve"> The reviewer requested stronger theoretical explanation, fuller limitations and cautious claims.</w:t>
      </w:r>
    </w:p>
    <w:p>
      <w:pPr>
        <w:jc w:val="both"/>
      </w:pPr>
      <w:r>
        <w:rPr>
          <w:rFonts w:ascii="Arial" w:hAnsi="Arial" w:eastAsia="Arial"/>
          <w:b/>
          <w:sz w:val="20"/>
        </w:rPr>
        <w:t>Response:</w:t>
      </w:r>
      <w:r>
        <w:rPr>
          <w:rFonts w:ascii="Arial" w:hAnsi="Arial" w:eastAsia="Arial"/>
          <w:b w:val="0"/>
          <w:sz w:val="20"/>
        </w:rPr>
        <w:t xml:space="preserve"> The integrated discussion now treats H1-H4 separately through RBV, DCT and Institutional Theory and explains plausible mechanisms and boundary conditions. The limitation section now covers cross-sectional design, government-programme context, selection, administrative data, measurement limits, missing SmartPLS output and generalisability. The conclusion uses association-based language and explicitly rejects causal, universal and evenly distributed interpretations.</w:t>
      </w:r>
    </w:p>
    <w:p>
      <w:pPr>
        <w:jc w:val="both"/>
      </w:pPr>
      <w:r>
        <w:rPr>
          <w:rFonts w:ascii="Arial" w:hAnsi="Arial" w:eastAsia="Arial"/>
          <w:b/>
          <w:sz w:val="20"/>
        </w:rPr>
        <w:t>Locations:</w:t>
      </w:r>
      <w:r>
        <w:rPr>
          <w:rFonts w:ascii="Arial" w:hAnsi="Arial" w:eastAsia="Arial"/>
          <w:b w:val="0"/>
          <w:sz w:val="20"/>
        </w:rPr>
        <w:t xml:space="preserve"> Integrated discussion; Limitations and future research; final conclusion paragraph.</w:t>
      </w:r>
    </w:p>
    <w:p>
      <w:pPr>
        <w:pStyle w:val="Heading1"/>
      </w:pPr>
      <w:r>
        <w:rPr>
          <w:rFonts w:ascii="Arial" w:hAnsi="Arial" w:eastAsia="Arial"/>
          <w:b/>
          <w:sz w:val="26"/>
        </w:rPr>
        <w:t>Final Quality-Control Statement</w:t>
      </w:r>
    </w:p>
    <w:p>
      <w:pPr>
        <w:pStyle w:val="ListBullet"/>
      </w:pPr>
      <w:r>
        <w:rPr>
          <w:rFonts w:ascii="Arial" w:hAnsi="Arial" w:eastAsia="Arial"/>
          <w:b w:val="0"/>
          <w:sz w:val="20"/>
        </w:rPr>
        <w:t>Every second-round comment is addressed in the manuscript and mapped above.</w:t>
      </w:r>
    </w:p>
    <w:p>
      <w:pPr>
        <w:pStyle w:val="ListBullet"/>
      </w:pPr>
      <w:r>
        <w:rPr>
          <w:rFonts w:ascii="Arial" w:hAnsi="Arial" w:eastAsia="Arial"/>
          <w:b w:val="0"/>
          <w:sz w:val="20"/>
        </w:rPr>
        <w:t>No path coefficient, effect size, explained variance, predictive metric, fit index or confidence interval was fabricated.</w:t>
      </w:r>
    </w:p>
    <w:p>
      <w:pPr>
        <w:pStyle w:val="ListBullet"/>
      </w:pPr>
      <w:r>
        <w:rPr>
          <w:rFonts w:ascii="Arial" w:hAnsi="Arial" w:eastAsia="Arial"/>
          <w:b w:val="0"/>
          <w:sz w:val="20"/>
        </w:rPr>
        <w:t>The title, hypotheses, conceptual framework, dataset, research design, tables, references and appendices were retained.</w:t>
      </w:r>
    </w:p>
    <w:p>
      <w:pPr>
        <w:pStyle w:val="ListBullet"/>
      </w:pPr>
      <w:r>
        <w:rPr>
          <w:rFonts w:ascii="Arial" w:hAnsi="Arial" w:eastAsia="Arial"/>
          <w:b w:val="0"/>
          <w:sz w:val="20"/>
        </w:rPr>
        <w:t>The discrepancy between main Table 3 and Appendix Table A3 remains disclosed and requires primary-export verification.</w:t>
      </w:r>
    </w:p>
    <w:p>
      <w:pPr>
        <w:pStyle w:val="ListBullet"/>
      </w:pPr>
      <w:r>
        <w:rPr>
          <w:rFonts w:ascii="Arial" w:hAnsi="Arial" w:eastAsia="Arial"/>
          <w:b w:val="0"/>
          <w:sz w:val="20"/>
        </w:rPr>
        <w:t>All new figures are black-and-white compatible and explicitly distinguish descriptive patterns from causal evidence.</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ARBMS4 Response to Second-Round Reviewer Comments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