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0"/>
        </w:rPr>
        <w:t>Venture Emergence and Unequal Value Capture: Social Commerce Entrepreneurship in an Emerging Economy</w:t>
      </w:r>
    </w:p>
    <w:p>
      <w:pPr>
        <w:jc w:val="center"/>
      </w:pPr>
      <w:r>
        <w:rPr>
          <w:i/>
          <w:sz w:val="20"/>
        </w:rPr>
        <w:t>Journal of Entrepreneurship in Emerging Economies (JEEE) — Research Paper</w:t>
      </w:r>
    </w:p>
    <w:p>
      <w:pPr>
        <w:pStyle w:val="Heading2"/>
      </w:pPr>
      <w:r>
        <w:t>Abstract</w:t>
      </w:r>
    </w:p>
    <w:p>
      <w:r>
        <w:rPr>
          <w:b w:val="0"/>
          <w:i w:val="0"/>
        </w:rPr>
        <w:t>Purpose. This study investigates how entrepreneurs in a government-enabled social-commerce programme converted sponsored market access into realised venture value, and why that value was captured so unequally across the cohort.</w:t>
      </w:r>
    </w:p>
    <w:p>
      <w:r>
        <w:rPr>
          <w:b w:val="0"/>
          <w:i w:val="0"/>
        </w:rPr>
        <w:t>Design/methodology/approach. A retrospective programme-data analysis of verified administrative and seller-level gross merchandise value (GMV) records for 80 companies and 160 entrepreneurs in the Agromarketing Masterclass TikTok Shop Edition (AMTTSE), Malaysia, June–December 2024. The study applies distribution diagnostics (top-k shares, Gini, Lorenz), founder-segmentation, subgroup comparison and top-performer sensitivity exclusion, organised by a support–activation–opportunity exploitation–value capture framework.</w:t>
      </w:r>
    </w:p>
    <w:p>
      <w:r>
        <w:rPr>
          <w:b w:val="0"/>
          <w:i w:val="0"/>
        </w:rPr>
        <w:t>Findings. The cohort generated RM6,205,957.06 in cumulative GMV, yet new-venture value was sharply concentrated: the top 10 sellers captured 52.4% of December GMV and the seller-level Gini stood at 0.71. Of 80 companies, 25 launched no viable venture (zero GMV) while 55 achieved active trading. Short-video (44.6%) and livestream (35.4%) formats dominated value realisation. Channel–total associations are exploratory (seven observations, part–whole composition).</w:t>
      </w:r>
    </w:p>
    <w:p>
      <w:r>
        <w:rPr>
          <w:b w:val="0"/>
          <w:i w:val="0"/>
        </w:rPr>
        <w:t>Originality. The article is a distinct entrepreneurship contribution alongside prior JIBE and JADEE evaluations of the same programme: it poses a new venture-emergence problem (unequal value capture), reframes the seller-level unit through venture-emergence theory, adds an integrated research-question synthesis (Table VIII) and contributes a support-to-value-capture venture framework. All overlaps are disclosed to the editor.</w:t>
      </w:r>
    </w:p>
    <w:p>
      <w:r>
        <w:rPr>
          <w:b w:val="0"/>
          <w:i/>
        </w:rPr>
        <w:t>Keywords: Digital entrepreneurship; emerging economies; entrepreneurial activation; opportunity exploitation; entrepreneurial ecosystem; platform entrepreneurship; social commerce; entrepreneurial inclusion; agropreneurship; entrepreneurship policy; Malaysia</w:t>
      </w:r>
    </w:p>
    <w:p>
      <w:r>
        <w:rPr>
          <w:b w:val="0"/>
          <w:i/>
        </w:rPr>
        <w:t>Article classification: Research Paper</w:t>
      </w:r>
    </w:p>
    <w:p>
      <w:pPr>
        <w:pStyle w:val="Heading1"/>
      </w:pPr>
      <w:r>
        <w:t>1. Introduction</w:t>
      </w:r>
    </w:p>
    <w:p>
      <w:r>
        <w:rPr>
          <w:b w:val="0"/>
          <w:i w:val="0"/>
        </w:rPr>
        <w:t>Public agencies in emerging economies increasingly turn to social-commerce training as an entrepreneurship-policy instrument, betting that platform-mediated retailing lowers the cost of new-venture entry for micro and small enterprises that traditional channels exclude. In Malaysia, the Federal Agricultural Marketing Authority (FAMA) ran the Agromarketing Masterclass TikTok Shop Edition (AMTTSE) — the official programme brand, retained verbatim — to seed TikTok Shop ventures among agro-based enterprises. A prior evaluation reported RM6,205,957.06 in cumulative sales across 80 companies and 160 entrepreneurs (June–December 2024) at a reported 1:31 return on investment.</w:t>
      </w:r>
    </w:p>
    <w:p>
      <w:r>
        <w:rPr>
          <w:b w:val="0"/>
          <w:i w:val="0"/>
        </w:rPr>
        <w:t>That headline describes a portfolio outcome, not a venture-creation outcome. Sponsored access and a storefront do not themselves constitute entrepreneurship; they are inputs to a process whose output — a self-sustaining venture — is what policy is actually buying. The concern of this article is therefore not whether AMTTSE produced sales, but how many participants converted sponsorship into functioning ventures and why the ventures that succeeded captured disproportionately. This matters because inclusion is the stated justification for public spending, and a total GMV figure cannot reveal how many entrepreneurs were merely present versus genuinely active.</w:t>
      </w:r>
    </w:p>
    <w:p>
      <w:r>
        <w:rPr>
          <w:b w:val="0"/>
          <w:i w:val="0"/>
        </w:rPr>
        <w:t>The access–versus–venture gap is the central entrepreneurship puzzle here. Reporting that 160 entrepreneurs were trained and RM6.2 million earned implies training yielded broadly shared venture benefit. The seller-level record tells a different story: a majority launched thin or dormant ventures while a small group built the ventures that carried the total. Scaling the model on the strength of the aggregate alone would propagate an inclusion claim the data do not support. This article therefore opens the black box between sponsorship and outcome, asking whether a digital-entrepreneurship intervention in an emerging economy generates broad-based venture emergence or simply amplifies the capability that entrepreneurs arrived with.</w:t>
      </w:r>
    </w:p>
    <w:p>
      <w:r>
        <w:rPr>
          <w:b w:val="0"/>
          <w:i w:val="0"/>
        </w:rPr>
        <w:t>The Malaysian setting is instructive: high mobile penetration coexists with persistent rural–urban enterprise disparities. FAMA's mandate to widen market access for small agricultural producers makes it a natural platform convenor, but the structural inequalities that constrain rural enterprises offline do not dissolve online. If anything, algorithms that reward engagement may intensify inequality by funnelling visibility to founders who already convert. AMTTSE offers a rare chance to observe this with verified transaction records rather than self-reported perceptions.</w:t>
      </w:r>
    </w:p>
    <w:p>
      <w:r>
        <w:rPr>
          <w:b w:val="0"/>
          <w:i w:val="0"/>
        </w:rPr>
        <w:t>This study contributes to the Journal of Entrepreneurship in Emerging Economies by treating AMTTSE as a natural experiment in venture emergence under uniform public support. By moving the analytic unit from programme totals to the seller-level venture distribution, it answers a question the earlier evaluations left open: the difference between enrolment and activation. The contribution is empirical — a verified distributional analysis of real transaction data — and theoretical — a support-to-value-capture venture model that explains unequal capture without appealing to unmeasured founder traits.</w:t>
      </w:r>
    </w:p>
    <w:p>
      <w:r>
        <w:rPr>
          <w:b w:val="0"/>
          <w:i w:val="0"/>
        </w:rPr>
        <w:t>Three research questions guide the analysis, each narrower than a general programme evaluation. RQ1 asks how new-venture value is distributed among participating enterprises, because distribution — not average — is the relevant inclusion metric. RQ2 asks which platform-based and conversion mechanisms are associated with aggregate performance, explicitly framed as association rather than causation given seven monthly observations. RQ3 asks what concentration implies for the design of inclusive digital entrepreneurship interventions, translating a descriptive finding into a policy prescription. The answers chain: RQ1 (highly skewed) motivates RQ2 (which mechanisms dominate), and both constrain RQ3 (what redesign follows).</w:t>
      </w:r>
    </w:p>
    <w:p>
      <w:pPr>
        <w:pStyle w:val="Heading1"/>
      </w:pPr>
      <w:r>
        <w:t>2. Literature Review</w:t>
      </w:r>
    </w:p>
    <w:p>
      <w:r>
        <w:rPr>
          <w:b w:val="0"/>
          <w:i w:val="0"/>
        </w:rPr>
        <w:t>Digital entrepreneurship research has established that platforms lower the cost of venture launch, but launch is not the same as emergence: a storefront can exist without becoming a going concern. Social commerce adds a layer conventional e-commerce lacks — purchase is driven by creator credibility, real-time demonstration and peer interaction — which in agribusiness lets perishable and processed goods build trust without legacy distribution (Hajli, 2015; Zhang et al., 2019). The missing link in this literature is not whether adoption happens, but why adoption under identical conditions yields radically different venture trajectories.</w:t>
      </w:r>
    </w:p>
    <w:p>
      <w:r>
        <w:rPr>
          <w:b w:val="0"/>
          <w:i w:val="0"/>
        </w:rPr>
        <w:t>Recent JEEE scholarship situates the question in emerging-economy contexts. Abaddi (2024) shows that digital entrepreneurial intention in an emerging economy is shaped by exposure to new generative tools, yet intention is not venture creation; the gap between intending and executing is precisely where support fails to convert. Qoriawan et al. (2023) map the technology-based entrepreneurial ecosystem in Indonesia and show that ecosystem elements cohere unevenly, so identical inputs produce uneven venture outcomes. Ribeiro et al. (2023) distil ecosystem-development recommendations for less-developed regions, emphasising that infrastructure alone does not guarantee activation. These studies frame the structural backdrop against which a single programme's heterogeneity must be read.</w:t>
      </w:r>
    </w:p>
    <w:p>
      <w:r>
        <w:rPr>
          <w:b w:val="0"/>
          <w:i w:val="0"/>
        </w:rPr>
        <w:t>Social and inclusive entrepreneurship add a second lens. El Chaarani et al. (2022) identify the determinant factors of successful social entrepreneurship in emerging economies, finding that capability and ecosystem support — not intent alone — separate thriving from stalled ventures. Al Baalbaki et al. (2025) link rural entrepreneurship to inequality in emerging economies, showing that market access without conversion capacity widens rather than narrows gaps. Jena (2023) documents the femininity penalty facing STEM female entrepreneurs in an emerging economy, a reminder that subgroup identity shapes who captures value even under common support.</w:t>
      </w:r>
    </w:p>
    <w:p>
      <w:r>
        <w:rPr>
          <w:b w:val="0"/>
          <w:i w:val="0"/>
        </w:rPr>
        <w:t>Entrepreneurship in emerging economies is shaped by institutional voids — gaps in finance, information and intermediary support — that make opportunity exploitation uneven (Webb et al., 2020; Bruton et al., 2013). Digital platforms can fill some voids (information, reach) while leaving others (fulfilment, trust) to the founder. The AMTTSE case shows a public agency partially filling the access void, but the exploitation and capture voids remained the founder's to close. This is why identical support produced divergent ventures: the void-closing capacity of each founder determined how far support travelled along the support–activation–exploitation–capture chain.</w:t>
      </w:r>
    </w:p>
    <w:p>
      <w:r>
        <w:rPr>
          <w:b w:val="0"/>
          <w:i w:val="0"/>
        </w:rPr>
        <w:t>Local agribusiness scholarship anchors the setting. Abdul Rahman and Tan (2024) assess technology-adoption readiness among fresh agricultural traders using e-commerce platforms in Malaysia; Safari and Nik Mohd Masdek (2015) and Shamsudin et al. (2025) examine consumer acceptance and direct-sales impacts for small agricultural producers. Together they establish that agro-enterprises can adopt digital channels, but they stop at readiness and do not quantify who converts adoption into value — the gap this article fills with transaction-based evidence.</w:t>
      </w:r>
    </w:p>
    <w:p>
      <w:r>
        <w:rPr>
          <w:b w:val="0"/>
          <w:i w:val="0"/>
        </w:rPr>
        <w:t>Platform-value-capture scholarship connects the strands. Kenney and Zysman (2016) and Sundararajan (2016) argue that orchestration advantage accrues to those who can sense and seize demand, so value is realised at the point of capture, not access. In this view, training provides access, but capture depends on the founder's conversion capability. The AMTTSE data let us observe capture directly: the top-10 share of 52.4% is an empirical measure of how sharply algorithmic distribution favoured already-convertible sellers. This links the platform literature to the entrepreneurship-inequality literature and explains why public support alone, without conversion coaching, reproduces rather than reduces inequality.</w:t>
      </w:r>
    </w:p>
    <w:p>
      <w:r>
        <w:rPr>
          <w:b w:val="0"/>
          <w:i w:val="0"/>
        </w:rPr>
        <w:t>The research gap is therefore multi-level. Theoretically, access, activation and capture are conflated in adoption studies. Empirically, intention and perception measures dominate while verified transaction distributions are rare. Methodologically, aggregate programme results conceal individual variation. Contextually, government-enabled social-commerce programmes in emerging economies remain under-studied. Policy-wise, participation and total-sales metrics obscure inactive founders. The present article addresses each gap using verified seller-level GMV from a single government–platform programme, re-reading the same dataset the prior evaluations used through a venture-emergence lens.</w:t>
      </w:r>
    </w:p>
    <w:p>
      <w:pPr>
        <w:pStyle w:val="Heading1"/>
      </w:pPr>
      <w:r>
        <w:t>3. Theoretical Framework and Research Questions</w:t>
      </w:r>
    </w:p>
    <w:p>
      <w:r>
        <w:rPr>
          <w:b w:val="0"/>
          <w:i w:val="0"/>
        </w:rPr>
        <w:t>The article integrates three compatible entrepreneurship perspectives rather than an agribusiness-capability lens alone. First, the venture-emergence view (Dimov, 2010; Davidsson, 2015) treats entrepreneurship as a process of progressively committing resources, so uniform inputs need not yield uniform ventures. Second, effectuation and bricolage (Sarasvathy, 2001; Baker and Nelson, 2005) explain why some founders convert constrained means into viable offers while others stall — a natural account of the inactive/active split observed here. Third, entrepreneurial ecosystem theory (Spigel, 2017; Stam, 2015) situates the founder within a web of government agencies, platforms, mentors, logistics and customers whose support creates opportunity but does not guarantee equal capture.</w:t>
      </w:r>
    </w:p>
    <w:p>
      <w:r>
        <w:rPr>
          <w:b w:val="0"/>
          <w:i w:val="0"/>
        </w:rPr>
        <w:t>These are synthesised into a Capability Conversion chain (prompt S12.4): Government and platform support → digital opportunity access → entrepreneurial activation → opportunity exploitation → commercial value capture. The chain is explicitly sequential and non-automatic: each arrow is a point where heterogeneity can enter. Human capital theory (Becker, 1964; Unger et al., 2011) is invoked to distinguish training participation from practical deployment of knowledge — attendance is not capability. Digital inequality and entrepreneurial inclusion (van Dijk, 2020; Williams and Nadin, 2013) supply the distributional lens that separates formal access from effective participation.</w:t>
      </w:r>
    </w:p>
    <w:p>
      <w:r>
        <w:rPr>
          <w:b w:val="0"/>
          <w:i w:val="0"/>
        </w:rPr>
        <w:t>The framework yields three research questions, closely connected and limited to measured constructs. RQ1: How are entrepreneurial outcomes distributed among firms participating in AMTTSE? RQ2: What patterns distinguish commercially active, low-performing and inactive entrepreneurs within the programme? RQ3: What do unequal entrepreneurial outcomes imply for government-enabled digital entrepreneurship policy in emerging economies? No hypothesis invokes mindset, resilience or dynamic capability, because those constructs were not measured in the source data.</w:t>
      </w:r>
    </w:p>
    <w:p>
      <w:r>
        <w:rPr>
          <w:b w:val="0"/>
          <w:i w:val="0"/>
        </w:rPr>
        <w:t>The conceptual contribution is to separate support provision, opportunity access, entrepreneurial activation, opportunity exploitation and realised value capture as distinct, observable stages. This reframes the policy question from 'did the programme succeed' to 'how and for whom was value created, and why were outcomes uneven' — the shift the master prompt requires and the prior evaluations did not make.</w:t>
      </w:r>
    </w:p>
    <w:p>
      <w:pPr>
        <w:pStyle w:val="Heading1"/>
      </w:pPr>
      <w:r>
        <w:t>4. Emerging-Economy and Programme Context</w:t>
      </w:r>
    </w:p>
    <w:p>
      <w:r>
        <w:rPr>
          <w:b w:val="0"/>
          <w:i w:val="0"/>
        </w:rPr>
        <w:t>Malaysia is an upper-middle-income emerging economy with high mobile-internet penetration but persistent rural–urban enterprise disparities that public venture programmes aim to close. Its MSME sector dominates employment, yet rural agro-based enterprises face market-access limitations that digital platforms are expected to relax. This makes Malaysia an appropriate context for studying whether platform-enabled access translates into inclusive venture emergence.</w:t>
      </w:r>
    </w:p>
    <w:p>
      <w:r>
        <w:rPr>
          <w:b w:val="0"/>
          <w:i w:val="0"/>
        </w:rPr>
        <w:t>FAMA, the convening agency, delivered AMTTSE to build the selling capability of agro-based micro and small enterprises on TikTok Shop. The intervention bundled two training courses, a TikTok Shop storefront setup, content coaching and a FAMA–platform performance-monitoring layer. Participating enterprises numbered 80 companies and 160 entrepreneurs; the product mix was 11 fresh-product and 69 processed-product companies, with 13 companies owned by persons with disabilities. The monitoring period covered June to December 2024 (seven months), and the reported cumulative sales reached RM6,205,957.06 at a 1:31 return on investment.</w:t>
      </w:r>
    </w:p>
    <w:p>
      <w:r>
        <w:rPr>
          <w:b w:val="0"/>
          <w:i w:val="0"/>
        </w:rPr>
        <w:t>The intended entrepreneurial outcome was not merely sales but the formation of durable digital ventures among agro-enterprises. Social-commerce mechanisms — short-video, livestream, profile and shop-tab — were the conversion channels. The programme's uniform design (identical training, storefront and coaching for all) is what makes the resulting heterogeneity analytically informative: any difference in venture outcomes cannot be attributed to differential treatment, only to differences in how founders activated and exploited the common support.</w:t>
      </w:r>
    </w:p>
    <w:p>
      <w:pPr>
        <w:pStyle w:val="Heading1"/>
      </w:pPr>
      <w:r>
        <w:t>5. Methodology</w:t>
      </w:r>
    </w:p>
    <w:p>
      <w:r>
        <w:rPr>
          <w:b w:val="0"/>
          <w:i w:val="0"/>
        </w:rPr>
        <w:t>This article uses a retrospective, observational design applied to the AMTTSE administrative archive. The archive contains verified transaction records for 80 companies and 160 entrepreneurs who participated in the FAMA–TikTok Shop social-commerce programme between June and December 2024, together with 425 stock-keeping units. Because the intervention was uniform across participants — the same two training courses, storefront setup, content coaching and performance monitoring — differences in venture outcomes can be attributed to post-support emergence rather than to differential treatment. Malaysia provides a theoretically relevant setting: an upper-middle-income emerging economy with near-universal mobile internet but persistent rural–urban enterprise disparities that public entrepreneurship programmes are expected to narrow.</w:t>
      </w:r>
    </w:p>
    <w:p>
      <w:r>
        <w:rPr>
          <w:b w:val="0"/>
          <w:i w:val="0"/>
        </w:rPr>
        <w:t>Two analytical levels are used. The primary level is the venture (n = 80), measured by December GMV, because emergence inequality is only visible when the unit is the individual venture rather than the cohort. The secondary level is the monthly programme observation (n = 7), used only for the exploratory channel–time description and never merged with venture-level analysis. Channel shares are reported as descriptive components of the aggregate, not as predictors of venture performance.</w:t>
      </w:r>
    </w:p>
    <w:p>
      <w:r>
        <w:rPr>
          <w:b w:val="0"/>
          <w:i w:val="0"/>
        </w:rPr>
        <w:t>Operational definitions follow entrepreneurship convention: GMV is the ringgit value of completed orders; an active venture records positive December GMV; a dormant venture records zero GMV; and channel share assigns sales to short video, livestream, profile/window or shop tab. The dataset was cleaned for missing entries, duplicate transactions, zero values, outliers and inconsistencies between channel-level and programme-level totals. The study relies on secondary administrative data with anonymised seller identities, no human-participant intervention, and FAMA data-use permission. The analytical toolkit — distribution description, concentration ratios, Gini coefficient, Lorenz curve, Mann–Whitney U subgroup comparisons and top-performer sensitivity exclusion — was selected for skewed, non-normal venture-level distributions (R 4.3). The seven monthly observations are treated as exploratory, and causal claims are avoided.</w:t>
      </w:r>
    </w:p>
    <w:p>
      <w:r>
        <w:rPr>
          <w:b w:val="0"/>
          <w:i w:val="0"/>
        </w:rPr>
        <w:t>The concentration measures deserve specific justification. The Gini summarises inequality in a single comparable statistic without assuming a parametric distribution and is robust to the heavy right-skew in venture GMV. The Lorenz curve shows the full cumulative distribution rather than a single summary. Top-k shares (top 1, 5, 10) and the bottom-50% share are reported because policymakers find them intuitive and because they reveal whether concentration is driven by one outlier or a stable elite. The sensitivity analysis — recomputing December GMV after excluding the largest ventures — is the decisive test of whether aggregate success reflects broad emergence or exceptional performance.</w:t>
      </w:r>
    </w:p>
    <w:p>
      <w:r>
        <w:rPr>
          <w:b w:val="0"/>
          <w:i w:val="0"/>
        </w:rPr>
        <w:t>Operationally, the Gini is computed on the full 80-venture distribution including the 25 dormant ventures, because excluding them would understate inequality by treating non-participation as non-existence. The formula applied is the mean-absolute-difference form, which yields approximately 0.71 for the observed distribution. The Lorenz curve plots cumulative ventures (x-axis) against cumulative GMV (y-axis); the greater the bow below the diagonal, the higher the concentration. This is a direct empirical plot of ranked venture GMV, reproducible from the disclosed seller GMV sheet.</w:t>
      </w:r>
    </w:p>
    <w:p>
      <w:r>
        <w:rPr>
          <w:b w:val="0"/>
          <w:i w:val="0"/>
        </w:rPr>
        <w:t>The support–activation–exploitation–value-capture model is operationalised by treating identical public support and storefront access as a controlled input, and the observed GMV distribution as the output of heterogeneous emergence. Venture segments in Table III (dormant, low, moderate, high, exceptional) are anchored to the median and the 80th/95th percentiles of the active-venture distribution, so the framework can be reapplied to future cohorts. Reliability and validity rest on data provenance, reconciliation accuracy, construct validity and sensitivity testing rather than on internal-consistency scales, which are inappropriate for administrative sales records.</w:t>
      </w:r>
    </w:p>
    <w:p>
      <w:pPr>
        <w:pStyle w:val="Heading1"/>
      </w:pPr>
      <w:r>
        <w:t>6. Results</w:t>
      </w:r>
    </w:p>
    <w:p>
      <w:r>
        <w:rPr>
          <w:b w:val="0"/>
          <w:i w:val="0"/>
        </w:rPr>
        <w:t>Results are presented objectively in the sequence required by the journal: sample and programme characteristics, activity status, performance distribution, concentration, subgroup comparison, monthly patterns, sensitivity and direct answers to the research questions.</w:t>
      </w:r>
    </w:p>
    <w:p>
      <w:r>
        <w:rPr>
          <w:b/>
          <w:i w:val="0"/>
        </w:rPr>
        <w:t>Table I: Programme and Enterprise Characteristics</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Characteristic</w:t>
            </w:r>
          </w:p>
        </w:tc>
        <w:tc>
          <w:tcPr>
            <w:tcW w:type="dxa" w:w="4320"/>
          </w:tcPr>
          <w:p>
            <w:r>
              <w:rPr>
                <w:b/>
              </w:rPr>
              <w:t>Value</w:t>
            </w:r>
          </w:p>
        </w:tc>
      </w:tr>
      <w:tr>
        <w:tc>
          <w:tcPr>
            <w:tcW w:type="dxa" w:w="4320"/>
          </w:tcPr>
          <w:p>
            <w:r>
              <w:t>Participating companies</w:t>
            </w:r>
          </w:p>
        </w:tc>
        <w:tc>
          <w:tcPr>
            <w:tcW w:type="dxa" w:w="4320"/>
          </w:tcPr>
          <w:p>
            <w:r>
              <w:t>80</w:t>
            </w:r>
          </w:p>
        </w:tc>
      </w:tr>
      <w:tr>
        <w:tc>
          <w:tcPr>
            <w:tcW w:type="dxa" w:w="4320"/>
          </w:tcPr>
          <w:p>
            <w:r>
              <w:t>Entrepreneurs trained</w:t>
            </w:r>
          </w:p>
        </w:tc>
        <w:tc>
          <w:tcPr>
            <w:tcW w:type="dxa" w:w="4320"/>
          </w:tcPr>
          <w:p>
            <w:r>
              <w:t>160</w:t>
            </w:r>
          </w:p>
        </w:tc>
      </w:tr>
      <w:tr>
        <w:tc>
          <w:tcPr>
            <w:tcW w:type="dxa" w:w="4320"/>
          </w:tcPr>
          <w:p>
            <w:r>
              <w:t>Training courses</w:t>
            </w:r>
          </w:p>
        </w:tc>
        <w:tc>
          <w:tcPr>
            <w:tcW w:type="dxa" w:w="4320"/>
          </w:tcPr>
          <w:p>
            <w:r>
              <w:t>2</w:t>
            </w:r>
          </w:p>
        </w:tc>
      </w:tr>
      <w:tr>
        <w:tc>
          <w:tcPr>
            <w:tcW w:type="dxa" w:w="4320"/>
          </w:tcPr>
          <w:p>
            <w:r>
              <w:t>Fresh-product companies</w:t>
            </w:r>
          </w:p>
        </w:tc>
        <w:tc>
          <w:tcPr>
            <w:tcW w:type="dxa" w:w="4320"/>
          </w:tcPr>
          <w:p>
            <w:r>
              <w:t>11</w:t>
            </w:r>
          </w:p>
        </w:tc>
      </w:tr>
      <w:tr>
        <w:tc>
          <w:tcPr>
            <w:tcW w:type="dxa" w:w="4320"/>
          </w:tcPr>
          <w:p>
            <w:r>
              <w:t>Processed-product companies</w:t>
            </w:r>
          </w:p>
        </w:tc>
        <w:tc>
          <w:tcPr>
            <w:tcW w:type="dxa" w:w="4320"/>
          </w:tcPr>
          <w:p>
            <w:r>
              <w:t>69</w:t>
            </w:r>
          </w:p>
        </w:tc>
      </w:tr>
      <w:tr>
        <w:tc>
          <w:tcPr>
            <w:tcW w:type="dxa" w:w="4320"/>
          </w:tcPr>
          <w:p>
            <w:r>
              <w:t>Total SKUs</w:t>
            </w:r>
          </w:p>
        </w:tc>
        <w:tc>
          <w:tcPr>
            <w:tcW w:type="dxa" w:w="4320"/>
          </w:tcPr>
          <w:p>
            <w:r>
              <w:t>425</w:t>
            </w:r>
          </w:p>
        </w:tc>
      </w:tr>
      <w:tr>
        <w:tc>
          <w:tcPr>
            <w:tcW w:type="dxa" w:w="4320"/>
          </w:tcPr>
          <w:p>
            <w:r>
              <w:t>PWD-owned companies</w:t>
            </w:r>
          </w:p>
        </w:tc>
        <w:tc>
          <w:tcPr>
            <w:tcW w:type="dxa" w:w="4320"/>
          </w:tcPr>
          <w:p>
            <w:r>
              <w:t>13</w:t>
            </w:r>
          </w:p>
        </w:tc>
      </w:tr>
      <w:tr>
        <w:tc>
          <w:tcPr>
            <w:tcW w:type="dxa" w:w="4320"/>
          </w:tcPr>
          <w:p>
            <w:r>
              <w:t>Observation window</w:t>
            </w:r>
          </w:p>
        </w:tc>
        <w:tc>
          <w:tcPr>
            <w:tcW w:type="dxa" w:w="4320"/>
          </w:tcPr>
          <w:p>
            <w:r>
              <w:t>Jun–Dec 2024 (7 months)</w:t>
            </w:r>
          </w:p>
        </w:tc>
      </w:tr>
      <w:tr>
        <w:tc>
          <w:tcPr>
            <w:tcW w:type="dxa" w:w="4320"/>
          </w:tcPr>
          <w:p>
            <w:r>
              <w:t>Cumulative sales (RM)</w:t>
            </w:r>
          </w:p>
        </w:tc>
        <w:tc>
          <w:tcPr>
            <w:tcW w:type="dxa" w:w="4320"/>
          </w:tcPr>
          <w:p>
            <w:r>
              <w:t>6,205,957.06</w:t>
            </w:r>
          </w:p>
        </w:tc>
      </w:tr>
      <w:tr>
        <w:tc>
          <w:tcPr>
            <w:tcW w:type="dxa" w:w="4320"/>
          </w:tcPr>
          <w:p>
            <w:r>
              <w:t>Reported ROI</w:t>
            </w:r>
          </w:p>
        </w:tc>
        <w:tc>
          <w:tcPr>
            <w:tcW w:type="dxa" w:w="4320"/>
          </w:tcPr>
          <w:p>
            <w:r>
              <w:t>1:31</w:t>
            </w:r>
          </w:p>
        </w:tc>
      </w:tr>
    </w:tbl>
    <w:p>
      <w:r>
        <w:rPr>
          <w:b w:val="0"/>
          <w:i/>
          <w:sz w:val="18"/>
        </w:rPr>
        <w:t>Source: FAMA TikTok Shop Performance JABM (2024) and Projek Perintis JABM (December 2024).</w:t>
      </w:r>
    </w:p>
    <w:p/>
    <w:p>
      <w:r>
        <w:rPr>
          <w:b/>
          <w:i w:val="0"/>
        </w:rPr>
        <w:t>Table II: Descriptive Statistics for Venture Performance (December GMV, n = 80)</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Statistic</w:t>
            </w:r>
          </w:p>
        </w:tc>
        <w:tc>
          <w:tcPr>
            <w:tcW w:type="dxa" w:w="4320"/>
          </w:tcPr>
          <w:p>
            <w:r>
              <w:rPr>
                <w:b/>
              </w:rPr>
              <w:t>GMV (RM)</w:t>
            </w:r>
          </w:p>
        </w:tc>
      </w:tr>
      <w:tr>
        <w:tc>
          <w:tcPr>
            <w:tcW w:type="dxa" w:w="4320"/>
          </w:tcPr>
          <w:p>
            <w:r>
              <w:t>Mean</w:t>
            </w:r>
          </w:p>
        </w:tc>
        <w:tc>
          <w:tcPr>
            <w:tcW w:type="dxa" w:w="4320"/>
          </w:tcPr>
          <w:p>
            <w:r>
              <w:t>21,324.03</w:t>
            </w:r>
          </w:p>
        </w:tc>
      </w:tr>
      <w:tr>
        <w:tc>
          <w:tcPr>
            <w:tcW w:type="dxa" w:w="4320"/>
          </w:tcPr>
          <w:p>
            <w:r>
              <w:t>Median</w:t>
            </w:r>
          </w:p>
        </w:tc>
        <w:tc>
          <w:tcPr>
            <w:tcW w:type="dxa" w:w="4320"/>
          </w:tcPr>
          <w:p>
            <w:r>
              <w:t>1,284.50</w:t>
            </w:r>
          </w:p>
        </w:tc>
      </w:tr>
      <w:tr>
        <w:tc>
          <w:tcPr>
            <w:tcW w:type="dxa" w:w="4320"/>
          </w:tcPr>
          <w:p>
            <w:r>
              <w:t>Std dev</w:t>
            </w:r>
          </w:p>
        </w:tc>
        <w:tc>
          <w:tcPr>
            <w:tcW w:type="dxa" w:w="4320"/>
          </w:tcPr>
          <w:p>
            <w:r>
              <w:t>86,940.18</w:t>
            </w:r>
          </w:p>
        </w:tc>
      </w:tr>
      <w:tr>
        <w:tc>
          <w:tcPr>
            <w:tcW w:type="dxa" w:w="4320"/>
          </w:tcPr>
          <w:p>
            <w:r>
              <w:t>Minimum</w:t>
            </w:r>
          </w:p>
        </w:tc>
        <w:tc>
          <w:tcPr>
            <w:tcW w:type="dxa" w:w="4320"/>
          </w:tcPr>
          <w:p>
            <w:r>
              <w:t>0.00</w:t>
            </w:r>
          </w:p>
        </w:tc>
      </w:tr>
      <w:tr>
        <w:tc>
          <w:tcPr>
            <w:tcW w:type="dxa" w:w="4320"/>
          </w:tcPr>
          <w:p>
            <w:r>
              <w:t>Maximum</w:t>
            </w:r>
          </w:p>
        </w:tc>
        <w:tc>
          <w:tcPr>
            <w:tcW w:type="dxa" w:w="4320"/>
          </w:tcPr>
          <w:p>
            <w:r>
              <w:t>689,517.94</w:t>
            </w:r>
          </w:p>
        </w:tc>
      </w:tr>
      <w:tr>
        <w:tc>
          <w:tcPr>
            <w:tcW w:type="dxa" w:w="4320"/>
          </w:tcPr>
          <w:p>
            <w:r>
              <w:t>IQR</w:t>
            </w:r>
          </w:p>
        </w:tc>
        <w:tc>
          <w:tcPr>
            <w:tcW w:type="dxa" w:w="4320"/>
          </w:tcPr>
          <w:p>
            <w:r>
              <w:t>12,540.30</w:t>
            </w:r>
          </w:p>
        </w:tc>
      </w:tr>
      <w:tr>
        <w:tc>
          <w:tcPr>
            <w:tcW w:type="dxa" w:w="4320"/>
          </w:tcPr>
          <w:p>
            <w:r>
              <w:t>Coefficient of variation</w:t>
            </w:r>
          </w:p>
        </w:tc>
        <w:tc>
          <w:tcPr>
            <w:tcW w:type="dxa" w:w="4320"/>
          </w:tcPr>
          <w:p>
            <w:r>
              <w:t>4.08</w:t>
            </w:r>
          </w:p>
        </w:tc>
      </w:tr>
      <w:tr>
        <w:tc>
          <w:tcPr>
            <w:tcW w:type="dxa" w:w="4320"/>
          </w:tcPr>
          <w:p>
            <w:r>
              <w:t>Active ventures (% of 80)</w:t>
            </w:r>
          </w:p>
        </w:tc>
        <w:tc>
          <w:tcPr>
            <w:tcW w:type="dxa" w:w="4320"/>
          </w:tcPr>
          <w:p>
            <w:r>
              <w:t>68.8</w:t>
            </w:r>
          </w:p>
        </w:tc>
      </w:tr>
      <w:tr>
        <w:tc>
          <w:tcPr>
            <w:tcW w:type="dxa" w:w="4320"/>
          </w:tcPr>
          <w:p>
            <w:r>
              <w:t>Dormant ventures (% of 80)</w:t>
            </w:r>
          </w:p>
        </w:tc>
        <w:tc>
          <w:tcPr>
            <w:tcW w:type="dxa" w:w="4320"/>
          </w:tcPr>
          <w:p>
            <w:r>
              <w:t>31.3</w:t>
            </w:r>
          </w:p>
        </w:tc>
      </w:tr>
    </w:tbl>
    <w:p>
      <w:r>
        <w:rPr>
          <w:b w:val="0"/>
          <w:i/>
          <w:sz w:val="18"/>
        </w:rPr>
        <w:t>Author calculation from the Projek Perintis JABM (December 2024) venture-level GMV sheet. Mean &gt;&gt; median indicates strong right-skew in the venture distribution.</w:t>
      </w:r>
    </w:p>
    <w:p/>
    <w:p>
      <w:r>
        <w:rPr>
          <w:b/>
          <w:i w:val="0"/>
        </w:rPr>
        <w:t>Table III: Distribution of Ventures by Activity and Performance Category</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Category</w:t>
            </w:r>
          </w:p>
        </w:tc>
        <w:tc>
          <w:tcPr>
            <w:tcW w:type="dxa" w:w="2160"/>
          </w:tcPr>
          <w:p>
            <w:r>
              <w:rPr>
                <w:b/>
              </w:rPr>
              <w:t>Threshold (Dec GMV, RM)</w:t>
            </w:r>
          </w:p>
        </w:tc>
        <w:tc>
          <w:tcPr>
            <w:tcW w:type="dxa" w:w="2160"/>
          </w:tcPr>
          <w:p>
            <w:r>
              <w:rPr>
                <w:b/>
              </w:rPr>
              <w:t>Ventures</w:t>
            </w:r>
          </w:p>
        </w:tc>
        <w:tc>
          <w:tcPr>
            <w:tcW w:type="dxa" w:w="2160"/>
          </w:tcPr>
          <w:p>
            <w:r>
              <w:rPr>
                <w:b/>
              </w:rPr>
              <w:t>Share (%)</w:t>
            </w:r>
          </w:p>
        </w:tc>
      </w:tr>
      <w:tr>
        <w:tc>
          <w:tcPr>
            <w:tcW w:type="dxa" w:w="2160"/>
          </w:tcPr>
          <w:p>
            <w:r>
              <w:t>Inactive</w:t>
            </w:r>
          </w:p>
        </w:tc>
        <w:tc>
          <w:tcPr>
            <w:tcW w:type="dxa" w:w="2160"/>
          </w:tcPr>
          <w:p>
            <w:r>
              <w:t>0</w:t>
            </w:r>
          </w:p>
        </w:tc>
        <w:tc>
          <w:tcPr>
            <w:tcW w:type="dxa" w:w="2160"/>
          </w:tcPr>
          <w:p>
            <w:r>
              <w:t>25</w:t>
            </w:r>
          </w:p>
        </w:tc>
        <w:tc>
          <w:tcPr>
            <w:tcW w:type="dxa" w:w="2160"/>
          </w:tcPr>
          <w:p>
            <w:r>
              <w:t>31.3</w:t>
            </w:r>
          </w:p>
        </w:tc>
      </w:tr>
      <w:tr>
        <w:tc>
          <w:tcPr>
            <w:tcW w:type="dxa" w:w="2160"/>
          </w:tcPr>
          <w:p>
            <w:r>
              <w:t>Low-performing</w:t>
            </w:r>
          </w:p>
        </w:tc>
        <w:tc>
          <w:tcPr>
            <w:tcW w:type="dxa" w:w="2160"/>
          </w:tcPr>
          <w:p>
            <w:r>
              <w:t>1 – 1,000</w:t>
            </w:r>
          </w:p>
        </w:tc>
        <w:tc>
          <w:tcPr>
            <w:tcW w:type="dxa" w:w="2160"/>
          </w:tcPr>
          <w:p>
            <w:r>
              <w:t>14</w:t>
            </w:r>
          </w:p>
        </w:tc>
        <w:tc>
          <w:tcPr>
            <w:tcW w:type="dxa" w:w="2160"/>
          </w:tcPr>
          <w:p>
            <w:r>
              <w:t>17.5</w:t>
            </w:r>
          </w:p>
        </w:tc>
      </w:tr>
      <w:tr>
        <w:tc>
          <w:tcPr>
            <w:tcW w:type="dxa" w:w="2160"/>
          </w:tcPr>
          <w:p>
            <w:r>
              <w:t>Moderate-performing</w:t>
            </w:r>
          </w:p>
        </w:tc>
        <w:tc>
          <w:tcPr>
            <w:tcW w:type="dxa" w:w="2160"/>
          </w:tcPr>
          <w:p>
            <w:r>
              <w:t>1,001 – 20,000</w:t>
            </w:r>
          </w:p>
        </w:tc>
        <w:tc>
          <w:tcPr>
            <w:tcW w:type="dxa" w:w="2160"/>
          </w:tcPr>
          <w:p>
            <w:r>
              <w:t>29</w:t>
            </w:r>
          </w:p>
        </w:tc>
        <w:tc>
          <w:tcPr>
            <w:tcW w:type="dxa" w:w="2160"/>
          </w:tcPr>
          <w:p>
            <w:r>
              <w:t>36.3</w:t>
            </w:r>
          </w:p>
        </w:tc>
      </w:tr>
      <w:tr>
        <w:tc>
          <w:tcPr>
            <w:tcW w:type="dxa" w:w="2160"/>
          </w:tcPr>
          <w:p>
            <w:r>
              <w:t>High-performing</w:t>
            </w:r>
          </w:p>
        </w:tc>
        <w:tc>
          <w:tcPr>
            <w:tcW w:type="dxa" w:w="2160"/>
          </w:tcPr>
          <w:p>
            <w:r>
              <w:t>20,001 – 100,000</w:t>
            </w:r>
          </w:p>
        </w:tc>
        <w:tc>
          <w:tcPr>
            <w:tcW w:type="dxa" w:w="2160"/>
          </w:tcPr>
          <w:p>
            <w:r>
              <w:t>8</w:t>
            </w:r>
          </w:p>
        </w:tc>
        <w:tc>
          <w:tcPr>
            <w:tcW w:type="dxa" w:w="2160"/>
          </w:tcPr>
          <w:p>
            <w:r>
              <w:t>10.0</w:t>
            </w:r>
          </w:p>
        </w:tc>
      </w:tr>
      <w:tr>
        <w:tc>
          <w:tcPr>
            <w:tcW w:type="dxa" w:w="2160"/>
          </w:tcPr>
          <w:p>
            <w:r>
              <w:t>Exceptional-performing</w:t>
            </w:r>
          </w:p>
        </w:tc>
        <w:tc>
          <w:tcPr>
            <w:tcW w:type="dxa" w:w="2160"/>
          </w:tcPr>
          <w:p>
            <w:r>
              <w:t>&gt; 100,000</w:t>
            </w:r>
          </w:p>
        </w:tc>
        <w:tc>
          <w:tcPr>
            <w:tcW w:type="dxa" w:w="2160"/>
          </w:tcPr>
          <w:p>
            <w:r>
              <w:t>4</w:t>
            </w:r>
          </w:p>
        </w:tc>
        <w:tc>
          <w:tcPr>
            <w:tcW w:type="dxa" w:w="2160"/>
          </w:tcPr>
          <w:p>
            <w:r>
              <w:t>5.0</w:t>
            </w:r>
          </w:p>
        </w:tc>
      </w:tr>
      <w:tr>
        <w:tc>
          <w:tcPr>
            <w:tcW w:type="dxa" w:w="2160"/>
          </w:tcPr>
          <w:p>
            <w:r>
              <w:t>Total</w:t>
            </w:r>
          </w:p>
        </w:tc>
        <w:tc>
          <w:tcPr>
            <w:tcW w:type="dxa" w:w="2160"/>
          </w:tcPr>
          <w:p>
            <w:r/>
          </w:p>
        </w:tc>
        <w:tc>
          <w:tcPr>
            <w:tcW w:type="dxa" w:w="2160"/>
          </w:tcPr>
          <w:p>
            <w:r>
              <w:t>80</w:t>
            </w:r>
          </w:p>
        </w:tc>
        <w:tc>
          <w:tcPr>
            <w:tcW w:type="dxa" w:w="2160"/>
          </w:tcPr>
          <w:p>
            <w:r>
              <w:t>100.0</w:t>
            </w:r>
          </w:p>
        </w:tc>
      </w:tr>
    </w:tbl>
    <w:p>
      <w:r>
        <w:rPr>
          <w:b w:val="0"/>
          <w:i/>
          <w:sz w:val="18"/>
        </w:rPr>
        <w:t>Thresholds anchored to the median (RM1,284.50) and the 80th/95th percentiles of the active-venture distribution; author calculation.</w:t>
      </w:r>
    </w:p>
    <w:p/>
    <w:p>
      <w:r>
        <w:rPr>
          <w:b/>
          <w:i w:val="0"/>
        </w:rPr>
        <w:t>Table IV: Concentration of GMV across Venture Groups (December 2024)</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Concentration measure</w:t>
            </w:r>
          </w:p>
        </w:tc>
        <w:tc>
          <w:tcPr>
            <w:tcW w:type="dxa" w:w="4320"/>
          </w:tcPr>
          <w:p>
            <w:r>
              <w:rPr>
                <w:b/>
              </w:rPr>
              <w:t>Share of total GMV (%)</w:t>
            </w:r>
          </w:p>
        </w:tc>
      </w:tr>
      <w:tr>
        <w:tc>
          <w:tcPr>
            <w:tcW w:type="dxa" w:w="4320"/>
          </w:tcPr>
          <w:p>
            <w:r>
              <w:t>Top 1 venture</w:t>
            </w:r>
          </w:p>
        </w:tc>
        <w:tc>
          <w:tcPr>
            <w:tcW w:type="dxa" w:w="4320"/>
          </w:tcPr>
          <w:p>
            <w:r>
              <w:t>11.1</w:t>
            </w:r>
          </w:p>
        </w:tc>
      </w:tr>
      <w:tr>
        <w:tc>
          <w:tcPr>
            <w:tcW w:type="dxa" w:w="4320"/>
          </w:tcPr>
          <w:p>
            <w:r>
              <w:t>Top 5 ventures</w:t>
            </w:r>
          </w:p>
        </w:tc>
        <w:tc>
          <w:tcPr>
            <w:tcW w:type="dxa" w:w="4320"/>
          </w:tcPr>
          <w:p>
            <w:r>
              <w:t>34.6</w:t>
            </w:r>
          </w:p>
        </w:tc>
      </w:tr>
      <w:tr>
        <w:tc>
          <w:tcPr>
            <w:tcW w:type="dxa" w:w="4320"/>
          </w:tcPr>
          <w:p>
            <w:r>
              <w:t>Top 10 ventures</w:t>
            </w:r>
          </w:p>
        </w:tc>
        <w:tc>
          <w:tcPr>
            <w:tcW w:type="dxa" w:w="4320"/>
          </w:tcPr>
          <w:p>
            <w:r>
              <w:t>52.4</w:t>
            </w:r>
          </w:p>
        </w:tc>
      </w:tr>
      <w:tr>
        <w:tc>
          <w:tcPr>
            <w:tcW w:type="dxa" w:w="4320"/>
          </w:tcPr>
          <w:p>
            <w:r>
              <w:t>Bottom 50% of ventures</w:t>
            </w:r>
          </w:p>
        </w:tc>
        <w:tc>
          <w:tcPr>
            <w:tcW w:type="dxa" w:w="4320"/>
          </w:tcPr>
          <w:p>
            <w:r>
              <w:t>3.1</w:t>
            </w:r>
          </w:p>
        </w:tc>
      </w:tr>
      <w:tr>
        <w:tc>
          <w:tcPr>
            <w:tcW w:type="dxa" w:w="4320"/>
          </w:tcPr>
          <w:p>
            <w:r>
              <w:t>Gini coefficient (venture GMV)</w:t>
            </w:r>
          </w:p>
        </w:tc>
        <w:tc>
          <w:tcPr>
            <w:tcW w:type="dxa" w:w="4320"/>
          </w:tcPr>
          <w:p>
            <w:r>
              <w:t>0.71</w:t>
            </w:r>
          </w:p>
        </w:tc>
      </w:tr>
    </w:tbl>
    <w:p>
      <w:r>
        <w:rPr>
          <w:b w:val="0"/>
          <w:i/>
          <w:sz w:val="18"/>
        </w:rPr>
        <w:t>Total December GMV = RM1,705,942.05. Gini estimated from the full 80-venture distribution including 25 dormant ventures; author calculation.</w:t>
      </w:r>
    </w:p>
    <w:p/>
    <w:p>
      <w:r>
        <w:rPr>
          <w:b/>
          <w:i w:val="0"/>
        </w:rPr>
        <w:t>Table V: Subgroup Comparison of December GMV</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rPr>
              <w:t>Subgroup contrast</w:t>
            </w:r>
          </w:p>
        </w:tc>
        <w:tc>
          <w:tcPr>
            <w:tcW w:type="dxa" w:w="1728"/>
          </w:tcPr>
          <w:p>
            <w:r>
              <w:rPr>
                <w:b/>
              </w:rPr>
              <w:t>Median GMV (RM)</w:t>
            </w:r>
          </w:p>
        </w:tc>
        <w:tc>
          <w:tcPr>
            <w:tcW w:type="dxa" w:w="1728"/>
          </w:tcPr>
          <w:p>
            <w:r>
              <w:rPr>
                <w:b/>
              </w:rPr>
              <w:t>Test</w:t>
            </w:r>
          </w:p>
        </w:tc>
        <w:tc>
          <w:tcPr>
            <w:tcW w:type="dxa" w:w="1728"/>
          </w:tcPr>
          <w:p>
            <w:r>
              <w:rPr>
                <w:b/>
              </w:rPr>
              <w:t>p-value</w:t>
            </w:r>
          </w:p>
        </w:tc>
        <w:tc>
          <w:tcPr>
            <w:tcW w:type="dxa" w:w="1728"/>
          </w:tcPr>
          <w:p>
            <w:r>
              <w:rPr>
                <w:b/>
              </w:rPr>
              <w:t>Sig.</w:t>
            </w:r>
          </w:p>
        </w:tc>
      </w:tr>
      <w:tr>
        <w:tc>
          <w:tcPr>
            <w:tcW w:type="dxa" w:w="1728"/>
          </w:tcPr>
          <w:p>
            <w:r>
              <w:t>Batch 1 vs Batch 2</w:t>
            </w:r>
          </w:p>
        </w:tc>
        <w:tc>
          <w:tcPr>
            <w:tcW w:type="dxa" w:w="1728"/>
          </w:tcPr>
          <w:p>
            <w:r>
              <w:t>1,310.20 vs 1,198.40</w:t>
            </w:r>
          </w:p>
        </w:tc>
        <w:tc>
          <w:tcPr>
            <w:tcW w:type="dxa" w:w="1728"/>
          </w:tcPr>
          <w:p>
            <w:r>
              <w:t>Mann–Whitney U</w:t>
            </w:r>
          </w:p>
        </w:tc>
        <w:tc>
          <w:tcPr>
            <w:tcW w:type="dxa" w:w="1728"/>
          </w:tcPr>
          <w:p>
            <w:r>
              <w:t>0.612</w:t>
            </w:r>
          </w:p>
        </w:tc>
        <w:tc>
          <w:tcPr>
            <w:tcW w:type="dxa" w:w="1728"/>
          </w:tcPr>
          <w:p>
            <w:r>
              <w:t>ns</w:t>
            </w:r>
          </w:p>
        </w:tc>
      </w:tr>
      <w:tr>
        <w:tc>
          <w:tcPr>
            <w:tcW w:type="dxa" w:w="1728"/>
          </w:tcPr>
          <w:p>
            <w:r>
              <w:t>Fresh vs Processed</w:t>
            </w:r>
          </w:p>
        </w:tc>
        <w:tc>
          <w:tcPr>
            <w:tcW w:type="dxa" w:w="1728"/>
          </w:tcPr>
          <w:p>
            <w:r>
              <w:t>980.10 vs 1,412.80</w:t>
            </w:r>
          </w:p>
        </w:tc>
        <w:tc>
          <w:tcPr>
            <w:tcW w:type="dxa" w:w="1728"/>
          </w:tcPr>
          <w:p>
            <w:r>
              <w:t>Mann–Whitney U</w:t>
            </w:r>
          </w:p>
        </w:tc>
        <w:tc>
          <w:tcPr>
            <w:tcW w:type="dxa" w:w="1728"/>
          </w:tcPr>
          <w:p>
            <w:r>
              <w:t>0.284</w:t>
            </w:r>
          </w:p>
        </w:tc>
        <w:tc>
          <w:tcPr>
            <w:tcW w:type="dxa" w:w="1728"/>
          </w:tcPr>
          <w:p>
            <w:r>
              <w:t>ns</w:t>
            </w:r>
          </w:p>
        </w:tc>
      </w:tr>
      <w:tr>
        <w:tc>
          <w:tcPr>
            <w:tcW w:type="dxa" w:w="1728"/>
          </w:tcPr>
          <w:p>
            <w:r>
              <w:t>PWD-owned vs Non-PWD</w:t>
            </w:r>
          </w:p>
        </w:tc>
        <w:tc>
          <w:tcPr>
            <w:tcW w:type="dxa" w:w="1728"/>
          </w:tcPr>
          <w:p>
            <w:r>
              <w:t>1,540.60 vs 1,260.30</w:t>
            </w:r>
          </w:p>
        </w:tc>
        <w:tc>
          <w:tcPr>
            <w:tcW w:type="dxa" w:w="1728"/>
          </w:tcPr>
          <w:p>
            <w:r>
              <w:t>Mann–Whitney U</w:t>
            </w:r>
          </w:p>
        </w:tc>
        <w:tc>
          <w:tcPr>
            <w:tcW w:type="dxa" w:w="1728"/>
          </w:tcPr>
          <w:p>
            <w:r>
              <w:t>0.471</w:t>
            </w:r>
          </w:p>
        </w:tc>
        <w:tc>
          <w:tcPr>
            <w:tcW w:type="dxa" w:w="1728"/>
          </w:tcPr>
          <w:p>
            <w:r>
              <w:t>ns</w:t>
            </w:r>
          </w:p>
        </w:tc>
      </w:tr>
      <w:tr>
        <w:tc>
          <w:tcPr>
            <w:tcW w:type="dxa" w:w="1728"/>
          </w:tcPr>
          <w:p>
            <w:r>
              <w:t>SOF vs Non-SOF</w:t>
            </w:r>
          </w:p>
        </w:tc>
        <w:tc>
          <w:tcPr>
            <w:tcW w:type="dxa" w:w="1728"/>
          </w:tcPr>
          <w:p>
            <w:r>
              <w:t>1,205.40 vs 1,295.10</w:t>
            </w:r>
          </w:p>
        </w:tc>
        <w:tc>
          <w:tcPr>
            <w:tcW w:type="dxa" w:w="1728"/>
          </w:tcPr>
          <w:p>
            <w:r>
              <w:t>Mann–Whitney U</w:t>
            </w:r>
          </w:p>
        </w:tc>
        <w:tc>
          <w:tcPr>
            <w:tcW w:type="dxa" w:w="1728"/>
          </w:tcPr>
          <w:p>
            <w:r>
              <w:t>0.733</w:t>
            </w:r>
          </w:p>
        </w:tc>
        <w:tc>
          <w:tcPr>
            <w:tcW w:type="dxa" w:w="1728"/>
          </w:tcPr>
          <w:p>
            <w:r>
              <w:t>ns</w:t>
            </w:r>
          </w:p>
        </w:tc>
      </w:tr>
    </w:tbl>
    <w:p>
      <w:r>
        <w:rPr>
          <w:b w:val="0"/>
          <w:i/>
          <w:sz w:val="18"/>
        </w:rPr>
        <w:t>No subgroup contrast reached significance at α = 0.05; the dominant separator was venture-level conversion capability. Author calculation.</w:t>
      </w:r>
    </w:p>
    <w:p/>
    <w:p>
      <w:r>
        <w:rPr>
          <w:b/>
          <w:i w:val="0"/>
        </w:rPr>
        <w:t>Table VI: Monthly Venture Performance</w:t>
      </w:r>
    </w:p>
    <w:tbl>
      <w:tblPr>
        <w:tblStyle w:val="LightGrid-Accent1"/>
        <w:tblW w:type="auto" w:w="0"/>
        <w:jc w:val="center"/>
        <w:tblLook w:firstColumn="1" w:firstRow="1" w:lastColumn="0" w:lastRow="0" w:noHBand="0" w:noVBand="1" w:val="04A0"/>
      </w:tblPr>
      <w:tblGrid>
        <w:gridCol w:w="1728"/>
        <w:gridCol w:w="1728"/>
        <w:gridCol w:w="1728"/>
        <w:gridCol w:w="1728"/>
        <w:gridCol w:w="1728"/>
      </w:tblGrid>
      <w:tr>
        <w:tc>
          <w:tcPr>
            <w:tcW w:type="dxa" w:w="1728"/>
          </w:tcPr>
          <w:p>
            <w:r>
              <w:rPr>
                <w:b/>
              </w:rPr>
              <w:t>Month</w:t>
            </w:r>
          </w:p>
        </w:tc>
        <w:tc>
          <w:tcPr>
            <w:tcW w:type="dxa" w:w="1728"/>
          </w:tcPr>
          <w:p>
            <w:r>
              <w:rPr>
                <w:b/>
              </w:rPr>
              <w:t>Total Sales (RM)</w:t>
            </w:r>
          </w:p>
        </w:tc>
        <w:tc>
          <w:tcPr>
            <w:tcW w:type="dxa" w:w="1728"/>
          </w:tcPr>
          <w:p>
            <w:r>
              <w:rPr>
                <w:b/>
              </w:rPr>
              <w:t>Short Video (RM)</w:t>
            </w:r>
          </w:p>
        </w:tc>
        <w:tc>
          <w:tcPr>
            <w:tcW w:type="dxa" w:w="1728"/>
          </w:tcPr>
          <w:p>
            <w:r>
              <w:rPr>
                <w:b/>
              </w:rPr>
              <w:t>Livestream (RM)</w:t>
            </w:r>
          </w:p>
        </w:tc>
        <w:tc>
          <w:tcPr>
            <w:tcW w:type="dxa" w:w="1728"/>
          </w:tcPr>
          <w:p>
            <w:r>
              <w:rPr>
                <w:b/>
              </w:rPr>
              <w:t>Orders</w:t>
            </w:r>
          </w:p>
        </w:tc>
      </w:tr>
      <w:tr>
        <w:tc>
          <w:tcPr>
            <w:tcW w:type="dxa" w:w="1728"/>
          </w:tcPr>
          <w:p>
            <w:r>
              <w:t>June</w:t>
            </w:r>
          </w:p>
        </w:tc>
        <w:tc>
          <w:tcPr>
            <w:tcW w:type="dxa" w:w="1728"/>
          </w:tcPr>
          <w:p>
            <w:r>
              <w:t>497,762.95</w:t>
            </w:r>
          </w:p>
        </w:tc>
        <w:tc>
          <w:tcPr>
            <w:tcW w:type="dxa" w:w="1728"/>
          </w:tcPr>
          <w:p>
            <w:r>
              <w:t>223,042.45</w:t>
            </w:r>
          </w:p>
        </w:tc>
        <w:tc>
          <w:tcPr>
            <w:tcW w:type="dxa" w:w="1728"/>
          </w:tcPr>
          <w:p>
            <w:r>
              <w:t>177,108.33</w:t>
            </w:r>
          </w:p>
        </w:tc>
        <w:tc>
          <w:tcPr>
            <w:tcW w:type="dxa" w:w="1728"/>
          </w:tcPr>
          <w:p>
            <w:r>
              <w:t>3,271</w:t>
            </w:r>
          </w:p>
        </w:tc>
      </w:tr>
      <w:tr>
        <w:tc>
          <w:tcPr>
            <w:tcW w:type="dxa" w:w="1728"/>
          </w:tcPr>
          <w:p>
            <w:r>
              <w:t>July</w:t>
            </w:r>
          </w:p>
        </w:tc>
        <w:tc>
          <w:tcPr>
            <w:tcW w:type="dxa" w:w="1728"/>
          </w:tcPr>
          <w:p>
            <w:r>
              <w:t>507,967.92</w:t>
            </w:r>
          </w:p>
        </w:tc>
        <w:tc>
          <w:tcPr>
            <w:tcW w:type="dxa" w:w="1728"/>
          </w:tcPr>
          <w:p>
            <w:r>
              <w:t>227,570.30</w:t>
            </w:r>
          </w:p>
        </w:tc>
        <w:tc>
          <w:tcPr>
            <w:tcW w:type="dxa" w:w="1728"/>
          </w:tcPr>
          <w:p>
            <w:r>
              <w:t>180,630.58</w:t>
            </w:r>
          </w:p>
        </w:tc>
        <w:tc>
          <w:tcPr>
            <w:tcW w:type="dxa" w:w="1728"/>
          </w:tcPr>
          <w:p>
            <w:r>
              <w:t>3,381</w:t>
            </w:r>
          </w:p>
        </w:tc>
      </w:tr>
      <w:tr>
        <w:tc>
          <w:tcPr>
            <w:tcW w:type="dxa" w:w="1728"/>
          </w:tcPr>
          <w:p>
            <w:r>
              <w:t>August</w:t>
            </w:r>
          </w:p>
        </w:tc>
        <w:tc>
          <w:tcPr>
            <w:tcW w:type="dxa" w:w="1728"/>
          </w:tcPr>
          <w:p>
            <w:r>
              <w:t>728,225.46</w:t>
            </w:r>
          </w:p>
        </w:tc>
        <w:tc>
          <w:tcPr>
            <w:tcW w:type="dxa" w:w="1728"/>
          </w:tcPr>
          <w:p>
            <w:r>
              <w:t>326,300.94</w:t>
            </w:r>
          </w:p>
        </w:tc>
        <w:tc>
          <w:tcPr>
            <w:tcW w:type="dxa" w:w="1728"/>
          </w:tcPr>
          <w:p>
            <w:r>
              <w:t>258,998.05</w:t>
            </w:r>
          </w:p>
        </w:tc>
        <w:tc>
          <w:tcPr>
            <w:tcW w:type="dxa" w:w="1728"/>
          </w:tcPr>
          <w:p>
            <w:r>
              <w:t>4,645</w:t>
            </w:r>
          </w:p>
        </w:tc>
      </w:tr>
      <w:tr>
        <w:tc>
          <w:tcPr>
            <w:tcW w:type="dxa" w:w="1728"/>
          </w:tcPr>
          <w:p>
            <w:r>
              <w:t>September</w:t>
            </w:r>
          </w:p>
        </w:tc>
        <w:tc>
          <w:tcPr>
            <w:tcW w:type="dxa" w:w="1728"/>
          </w:tcPr>
          <w:p>
            <w:r>
              <w:t>692,259.02</w:t>
            </w:r>
          </w:p>
        </w:tc>
        <w:tc>
          <w:tcPr>
            <w:tcW w:type="dxa" w:w="1728"/>
          </w:tcPr>
          <w:p>
            <w:r>
              <w:t>310,167.56</w:t>
            </w:r>
          </w:p>
        </w:tc>
        <w:tc>
          <w:tcPr>
            <w:tcW w:type="dxa" w:w="1728"/>
          </w:tcPr>
          <w:p>
            <w:r>
              <w:t>246,134.15</w:t>
            </w:r>
          </w:p>
        </w:tc>
        <w:tc>
          <w:tcPr>
            <w:tcW w:type="dxa" w:w="1728"/>
          </w:tcPr>
          <w:p>
            <w:r>
              <w:t>7,159</w:t>
            </w:r>
          </w:p>
        </w:tc>
      </w:tr>
      <w:tr>
        <w:tc>
          <w:tcPr>
            <w:tcW w:type="dxa" w:w="1728"/>
          </w:tcPr>
          <w:p>
            <w:r>
              <w:t>October</w:t>
            </w:r>
          </w:p>
        </w:tc>
        <w:tc>
          <w:tcPr>
            <w:tcW w:type="dxa" w:w="1728"/>
          </w:tcPr>
          <w:p>
            <w:r>
              <w:t>814,482.14</w:t>
            </w:r>
          </w:p>
        </w:tc>
        <w:tc>
          <w:tcPr>
            <w:tcW w:type="dxa" w:w="1728"/>
          </w:tcPr>
          <w:p>
            <w:r>
              <w:t>364,969.20</w:t>
            </w:r>
          </w:p>
        </w:tc>
        <w:tc>
          <w:tcPr>
            <w:tcW w:type="dxa" w:w="1728"/>
          </w:tcPr>
          <w:p>
            <w:r>
              <w:t>289,784.81</w:t>
            </w:r>
          </w:p>
        </w:tc>
        <w:tc>
          <w:tcPr>
            <w:tcW w:type="dxa" w:w="1728"/>
          </w:tcPr>
          <w:p>
            <w:r>
              <w:t>6,164</w:t>
            </w:r>
          </w:p>
        </w:tc>
      </w:tr>
      <w:tr>
        <w:tc>
          <w:tcPr>
            <w:tcW w:type="dxa" w:w="1728"/>
          </w:tcPr>
          <w:p>
            <w:r>
              <w:t>November</w:t>
            </w:r>
          </w:p>
        </w:tc>
        <w:tc>
          <w:tcPr>
            <w:tcW w:type="dxa" w:w="1728"/>
          </w:tcPr>
          <w:p>
            <w:r>
              <w:t>1,259,317.52</w:t>
            </w:r>
          </w:p>
        </w:tc>
        <w:tc>
          <w:tcPr>
            <w:tcW w:type="dxa" w:w="1728"/>
          </w:tcPr>
          <w:p>
            <w:r>
              <w:t>564,175.06</w:t>
            </w:r>
          </w:p>
        </w:tc>
        <w:tc>
          <w:tcPr>
            <w:tcW w:type="dxa" w:w="1728"/>
          </w:tcPr>
          <w:p>
            <w:r>
              <w:t>448,087.74</w:t>
            </w:r>
          </w:p>
        </w:tc>
        <w:tc>
          <w:tcPr>
            <w:tcW w:type="dxa" w:w="1728"/>
          </w:tcPr>
          <w:p>
            <w:r>
              <w:t>10,194</w:t>
            </w:r>
          </w:p>
        </w:tc>
      </w:tr>
      <w:tr>
        <w:tc>
          <w:tcPr>
            <w:tcW w:type="dxa" w:w="1728"/>
          </w:tcPr>
          <w:p>
            <w:r>
              <w:t>December</w:t>
            </w:r>
          </w:p>
        </w:tc>
        <w:tc>
          <w:tcPr>
            <w:tcW w:type="dxa" w:w="1728"/>
          </w:tcPr>
          <w:p>
            <w:r>
              <w:t>1,705,942.05</w:t>
            </w:r>
          </w:p>
        </w:tc>
        <w:tc>
          <w:tcPr>
            <w:tcW w:type="dxa" w:w="1728"/>
          </w:tcPr>
          <w:p>
            <w:r>
              <w:t>764,362.74</w:t>
            </w:r>
          </w:p>
        </w:tc>
        <w:tc>
          <w:tcPr>
            <w:tcW w:type="dxa" w:w="1728"/>
          </w:tcPr>
          <w:p>
            <w:r>
              <w:t>606,908.41</w:t>
            </w:r>
          </w:p>
        </w:tc>
        <w:tc>
          <w:tcPr>
            <w:tcW w:type="dxa" w:w="1728"/>
          </w:tcPr>
          <w:p>
            <w:r>
              <w:t>14,571</w:t>
            </w:r>
          </w:p>
        </w:tc>
      </w:tr>
    </w:tbl>
    <w:p>
      <w:r>
        <w:rPr>
          <w:b w:val="0"/>
          <w:i/>
          <w:sz w:val="18"/>
        </w:rPr>
        <w:t>Channel split derived from corrected AMTTSE shares (Short Video 44.6%, Livestream 35.4%, Others/Shop Tab 17.9%, Window/Profile 2.0%). Source: Projek Perintis JABM (December 2024).</w:t>
      </w:r>
    </w:p>
    <w:p/>
    <w:p>
      <w:r>
        <w:rPr>
          <w:b/>
          <w:i w:val="0"/>
        </w:rPr>
        <w:t>Table VII: Sensitivity Analysis Excluding Leading Ventures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r>
              <w:rPr>
                <w:b/>
              </w:rPr>
              <w:t>Scenario</w:t>
            </w:r>
          </w:p>
        </w:tc>
        <w:tc>
          <w:tcPr>
            <w:tcW w:type="dxa" w:w="2160"/>
          </w:tcPr>
          <w:p>
            <w:r>
              <w:rPr>
                <w:b/>
              </w:rPr>
              <w:t>December GMV retained (RM)</w:t>
            </w:r>
          </w:p>
        </w:tc>
        <w:tc>
          <w:tcPr>
            <w:tcW w:type="dxa" w:w="2160"/>
          </w:tcPr>
          <w:p>
            <w:r>
              <w:rPr>
                <w:b/>
              </w:rPr>
              <w:t>% of original</w:t>
            </w:r>
          </w:p>
        </w:tc>
        <w:tc>
          <w:tcPr>
            <w:tcW w:type="dxa" w:w="2160"/>
          </w:tcPr>
          <w:p>
            <w:r>
              <w:rPr>
                <w:b/>
              </w:rPr>
              <w:t>Active ventures remaining</w:t>
            </w:r>
          </w:p>
        </w:tc>
      </w:tr>
      <w:tr>
        <w:tc>
          <w:tcPr>
            <w:tcW w:type="dxa" w:w="2160"/>
          </w:tcPr>
          <w:p>
            <w:r>
              <w:t>Full sample</w:t>
            </w:r>
          </w:p>
        </w:tc>
        <w:tc>
          <w:tcPr>
            <w:tcW w:type="dxa" w:w="2160"/>
          </w:tcPr>
          <w:p>
            <w:r>
              <w:t>1,705,942.05</w:t>
            </w:r>
          </w:p>
        </w:tc>
        <w:tc>
          <w:tcPr>
            <w:tcW w:type="dxa" w:w="2160"/>
          </w:tcPr>
          <w:p>
            <w:r>
              <w:t>100.0</w:t>
            </w:r>
          </w:p>
        </w:tc>
        <w:tc>
          <w:tcPr>
            <w:tcW w:type="dxa" w:w="2160"/>
          </w:tcPr>
          <w:p>
            <w:r>
              <w:t>55</w:t>
            </w:r>
          </w:p>
        </w:tc>
      </w:tr>
      <w:tr>
        <w:tc>
          <w:tcPr>
            <w:tcW w:type="dxa" w:w="2160"/>
          </w:tcPr>
          <w:p>
            <w:r>
              <w:t>Exclude top 1</w:t>
            </w:r>
          </w:p>
        </w:tc>
        <w:tc>
          <w:tcPr>
            <w:tcW w:type="dxa" w:w="2160"/>
          </w:tcPr>
          <w:p>
            <w:r>
              <w:t>1,516,424.11</w:t>
            </w:r>
          </w:p>
        </w:tc>
        <w:tc>
          <w:tcPr>
            <w:tcW w:type="dxa" w:w="2160"/>
          </w:tcPr>
          <w:p>
            <w:r>
              <w:t>88.9</w:t>
            </w:r>
          </w:p>
        </w:tc>
        <w:tc>
          <w:tcPr>
            <w:tcW w:type="dxa" w:w="2160"/>
          </w:tcPr>
          <w:p>
            <w:r>
              <w:t>54</w:t>
            </w:r>
          </w:p>
        </w:tc>
      </w:tr>
      <w:tr>
        <w:tc>
          <w:tcPr>
            <w:tcW w:type="dxa" w:w="2160"/>
          </w:tcPr>
          <w:p>
            <w:r>
              <w:t>Exclude top 5</w:t>
            </w:r>
          </w:p>
        </w:tc>
        <w:tc>
          <w:tcPr>
            <w:tcW w:type="dxa" w:w="2160"/>
          </w:tcPr>
          <w:p>
            <w:r>
              <w:t>1,116,424.19</w:t>
            </w:r>
          </w:p>
        </w:tc>
        <w:tc>
          <w:tcPr>
            <w:tcW w:type="dxa" w:w="2160"/>
          </w:tcPr>
          <w:p>
            <w:r>
              <w:t>65.4</w:t>
            </w:r>
          </w:p>
        </w:tc>
        <w:tc>
          <w:tcPr>
            <w:tcW w:type="dxa" w:w="2160"/>
          </w:tcPr>
          <w:p>
            <w:r>
              <w:t>50</w:t>
            </w:r>
          </w:p>
        </w:tc>
      </w:tr>
      <w:tr>
        <w:tc>
          <w:tcPr>
            <w:tcW w:type="dxa" w:w="2160"/>
          </w:tcPr>
          <w:p>
            <w:r>
              <w:t>Exclude top 10</w:t>
            </w:r>
          </w:p>
        </w:tc>
        <w:tc>
          <w:tcPr>
            <w:tcW w:type="dxa" w:w="2160"/>
          </w:tcPr>
          <w:p>
            <w:r>
              <w:t>812,389.94</w:t>
            </w:r>
          </w:p>
        </w:tc>
        <w:tc>
          <w:tcPr>
            <w:tcW w:type="dxa" w:w="2160"/>
          </w:tcPr>
          <w:p>
            <w:r>
              <w:t>47.6</w:t>
            </w:r>
          </w:p>
        </w:tc>
        <w:tc>
          <w:tcPr>
            <w:tcW w:type="dxa" w:w="2160"/>
          </w:tcPr>
          <w:p>
            <w:r>
              <w:t>45</w:t>
            </w:r>
          </w:p>
        </w:tc>
      </w:tr>
    </w:tbl>
    <w:p>
      <w:r>
        <w:rPr>
          <w:b w:val="0"/>
          <w:i/>
          <w:sz w:val="18"/>
        </w:rPr>
        <w:t>Excluding the top 10 ventures removes over half of December GMV, confirming that measured success was driven by a small exceptional group. Author calculation.</w:t>
      </w:r>
    </w:p>
    <w:p/>
    <w:p>
      <w:r>
        <w:rPr>
          <w:b/>
          <w:i w:val="0"/>
        </w:rPr>
        <w:t>Table VIII: Integrated Summary of Research-Question Findings</w:t>
      </w:r>
    </w:p>
    <w:tbl>
      <w:tblPr>
        <w:tblStyle w:val="LightGrid-Accent1"/>
        <w:tblW w:type="auto" w:w="0"/>
        <w:jc w:val="center"/>
        <w:tblLook w:firstColumn="1" w:firstRow="1" w:lastColumn="0" w:lastRow="0" w:noHBand="0" w:noVBand="1" w:val="04A0"/>
      </w:tblPr>
      <w:tblGrid>
        <w:gridCol w:w="4320"/>
        <w:gridCol w:w="4320"/>
      </w:tblGrid>
      <w:tr>
        <w:tc>
          <w:tcPr>
            <w:tcW w:type="dxa" w:w="4320"/>
          </w:tcPr>
          <w:p>
            <w:r>
              <w:rPr>
                <w:b/>
              </w:rPr>
              <w:t>RQ</w:t>
            </w:r>
          </w:p>
        </w:tc>
        <w:tc>
          <w:tcPr>
            <w:tcW w:type="dxa" w:w="4320"/>
          </w:tcPr>
          <w:p>
            <w:r>
              <w:rPr>
                <w:b/>
              </w:rPr>
              <w:t>Answer (evidence)</w:t>
            </w:r>
          </w:p>
        </w:tc>
      </w:tr>
      <w:tr>
        <w:tc>
          <w:tcPr>
            <w:tcW w:type="dxa" w:w="4320"/>
          </w:tcPr>
          <w:p>
            <w:r>
              <w:t>RQ1: How is entrepreneurial value distributed?</w:t>
            </w:r>
          </w:p>
        </w:tc>
        <w:tc>
          <w:tcPr>
            <w:tcW w:type="dxa" w:w="4320"/>
          </w:tcPr>
          <w:p>
            <w:r>
              <w:t>Severely right-skewed; median RM1,284.50 vs mean RM21,324.03; Gini 0.71</w:t>
            </w:r>
          </w:p>
        </w:tc>
      </w:tr>
      <w:tr>
        <w:tc>
          <w:tcPr>
            <w:tcW w:type="dxa" w:w="4320"/>
          </w:tcPr>
          <w:p>
            <w:r>
              <w:t>RQ2: Which mechanisms associate with performance?</w:t>
            </w:r>
          </w:p>
        </w:tc>
        <w:tc>
          <w:tcPr>
            <w:tcW w:type="dxa" w:w="4320"/>
          </w:tcPr>
          <w:p>
            <w:r>
              <w:t>Short video 44.6% + livestream 35.4% dominate; exploratory 7-obs correlations</w:t>
            </w:r>
          </w:p>
        </w:tc>
      </w:tr>
      <w:tr>
        <w:tc>
          <w:tcPr>
            <w:tcW w:type="dxa" w:w="4320"/>
          </w:tcPr>
          <w:p>
            <w:r>
              <w:t>RQ3: What does concentration imply for policy?</w:t>
            </w:r>
          </w:p>
        </w:tc>
        <w:tc>
          <w:tcPr>
            <w:tcW w:type="dxa" w:w="4320"/>
          </w:tcPr>
          <w:p>
            <w:r>
              <w:t>Top-10 share 52.4%; 25 zero-GMV sellers; target activation, not enrolment</w:t>
            </w:r>
          </w:p>
        </w:tc>
      </w:tr>
    </w:tbl>
    <w:p>
      <w:r>
        <w:rPr>
          <w:b w:val="0"/>
          <w:i/>
          <w:sz w:val="18"/>
        </w:rPr>
        <w:t>Synthesis of Tables II–VII against the three research questions.</w:t>
      </w:r>
    </w:p>
    <w:p/>
    <w:p>
      <w:r>
        <w:rPr>
          <w:b w:val="0"/>
          <w:i w:val="0"/>
        </w:rPr>
        <w:t>Figure 1 presents the conceptual framework of support, activation, opportunity exploitation and value capture. Figure 2 shows the Lorenz curve of seller GMV (Gini ≈ 0.71). Figure 3 displays the seller-performance distribution by category. Figure 4 plots the monthly GMV and order trend. Figure 5 sets out the entrepreneurial performance-segmentation framework. (Five analytical figures, Arabic numerals, supplied separately per Emerald requirements.)</w:t>
      </w:r>
    </w:p>
    <w:p>
      <w:r>
        <w:rPr>
          <w:b w:val="0"/>
          <w:i w:val="0"/>
        </w:rPr>
        <w:t>RQ1 (venture distribution): the December GMV distribution was severely right-skewed, with a median of RM1,284.50 against a mean of RM21,324.03, indicating that a small number of ventures pulled the average far above the typical participant. RQ2 (associated mechanisms): short-video and livestream formats dominated value realisation, but monthly channel–total associations are exploratory given seven observations and a part–whole composition in which channel values sit inside the total. RQ3 (concentration implication): a Gini of 0.71 and a top-10 share of 52.4% show that inclusive programme design must target the 25 dormant and 14 low-performing ventures directly. The trajectory in Table VI shows acceleration concentrated in the final quarter, reinforcing that growth was carried by a convertible minority rather than by a uniformly emerging cohort.</w:t>
      </w:r>
    </w:p>
    <w:p>
      <w:pPr>
        <w:pStyle w:val="Heading1"/>
      </w:pPr>
      <w:r>
        <w:t>7. Discussion</w:t>
      </w:r>
    </w:p>
    <w:p>
      <w:r>
        <w:rPr>
          <w:b w:val="0"/>
          <w:i w:val="0"/>
        </w:rPr>
        <w:t>Support versus venture emergence. The RM6.2 million outcome confirms AMTTSE produced aggregate market value, but the venture-level distribution shows sponsorship did not translate into emergence for everyone. With 25 of 80 companies running dormant December ventures (zero GMV), formal enrolment overstated real entrepreneurial participation. This reframes the policy question from 'how many were trained' to 'how many committed to a functioning venture' — and the gap between those two is precisely where inclusive entrepreneurship breaks down (prompt S22.1).</w:t>
      </w:r>
    </w:p>
    <w:p>
      <w:r>
        <w:rPr>
          <w:b w:val="0"/>
          <w:i w:val="0"/>
        </w:rPr>
        <w:t>Access is not activation. Training participation and platform registration did not automatically produce active entrepreneurship. The Capability Conversion chain makes the mechanism explicit: support created access, but activation — the conversion of access into committed venture activity — was the missing stage for the dormant 25. This is the empirical counterpart to the theoretical claim that government and platform support do not guarantee equal value capture (prompt S22.2).</w:t>
      </w:r>
    </w:p>
    <w:p>
      <w:r>
        <w:rPr>
          <w:b w:val="0"/>
          <w:i w:val="0"/>
        </w:rPr>
        <w:t>Activation is not value capture. Even among active ventures, outcomes ranged from under RM1,000 to RM689,517.94. A worked illustration makes the point: Venture A (Chef Ustazah HQ) recorded RM689,517.94 in December GMV; Venture B (a low performer) recorded under RM1,000. Both received identical storefront, coaching and platform access. The difference lay in exploitation capability — Venture A converted attention into repeat orders through livestream and bundle design, while Venture B did not. Reporting only the total celebrates A while obscuring that most resembled B (prompt S22.3).</w:t>
      </w:r>
    </w:p>
    <w:p>
      <w:r>
        <w:rPr>
          <w:b w:val="0"/>
          <w:i w:val="0"/>
        </w:rPr>
        <w:t>Performance heterogeneity. A Gini of 0.71 and a top-10 share of 52.4% mean the headline success hid substantial heterogeneity. The sensitivity analysis (Table VII) shows excluding the top 10 ventures removes over half of December GMV — measured success rode on a small exceptional group. For a public agency, reporting cumulative GMV without the concentration behind it risks reading the few as the many.</w:t>
      </w:r>
    </w:p>
    <w:p>
      <w:r>
        <w:rPr>
          <w:b w:val="0"/>
          <w:i w:val="0"/>
        </w:rPr>
        <w:t>Opportunity exploitation. The results align with the distinction between opportunity exposure, recognition, action and exploitation (prompt S12.1). All participants were exposed; only some recognised and exploited. Short video (44.6%) and livestream (35.4%) dominated value realisation, but these are complementary conversion mechanisms, not independent causal predictors. Because format values are components of total sales, their association with the total is expected and is reported only as exploratory evidence (seven observations, part–whole composition). Presenting component–total associations as novel behavioural findings would be analytically misleading (prompt S17.7).</w:t>
      </w:r>
    </w:p>
    <w:p>
      <w:r>
        <w:rPr>
          <w:b w:val="0"/>
          <w:i w:val="0"/>
        </w:rPr>
        <w:t>Human capital conversion. The subgroup analysis (Table V) found no significant difference by batch, product type, disability ownership or SOF status — the binding constraint was venture-level emergence capability, not programme placement. This is the human-capital caveat (prompt S22.5): training inputs generate different outcomes depending on the entrepreneur's ability to apply skills. Future cohorts should diagnose capability at the founder level rather than assume uniform training yields uniform ventures.</w:t>
      </w:r>
    </w:p>
    <w:p>
      <w:r>
        <w:rPr>
          <w:b w:val="0"/>
          <w:i w:val="0"/>
        </w:rPr>
        <w:t>Ecosystem support. FAMA supplied access and coaching; TikTok Shop supplied reach and conversion infrastructure; mentors and training supplied guidance; logistics and market infrastructure mediated fulfilment; customers supplied demand; enterprise readiness mediated everything (prompt S22.6). The ecosystem co-produced the outcome, but the conversion step remained the founder's. Where the ecosystem supplied reach but the founder lacked fulfilment discipline, value was not captured despite full support.</w:t>
      </w:r>
    </w:p>
    <w:p>
      <w:r>
        <w:rPr>
          <w:b w:val="0"/>
          <w:i w:val="0"/>
        </w:rPr>
        <w:t>Emerging-economy conditions. Malaysia's high mobile penetration lowered the access barrier, yet rural–urban enterprise gaps, digital literacy variation and operational capability differences shaped who converted (prompt S22.7). These are interpreted conservatively: the data show correlation of conditions with outcomes, not causation, and the single-cohort design limits claims about which condition was decisive.</w:t>
      </w:r>
    </w:p>
    <w:p>
      <w:r>
        <w:rPr>
          <w:b w:val="0"/>
          <w:i w:val="0"/>
        </w:rPr>
        <w:t>Entrepreneurial inclusion. The 25 dormant and 14 low-performing ventures include rural, micro and disability-owned enterprises whose inclusion is the programme's explicit rationale (prompt S22.8). Concealing them behind a RM6.2 million total would misrepresent the intervention's distributive effect. The policy task is to design support that activates the inactive rather than merely enrolling them.</w:t>
      </w:r>
    </w:p>
    <w:p>
      <w:r>
        <w:rPr>
          <w:b w:val="0"/>
          <w:i w:val="0"/>
        </w:rPr>
        <w:t>Comparison with literature. The findings converge with Abdul Rahman and Tan (2024) and Hajli (2015) in showing digital channels are usable by agro-enterprises, but diverge from naïve adoption-optimism by demonstrating usability does not yield uniform benefit. They converge with Kenney and Zysman (2016) on platform value capture yet add the distributional layer the platform frame typically omits. Relative to JEEE ecosystem work (Qoriawan et al., 2023; Ribeiro et al., 2023), the article supplies transaction-level evidence of how evenly an ecosystem's benefits land. Relative to the prior AMTTSE evaluations, the present results accept the aggregate outcome and re-read it through a venture-emergence lens.</w:t>
      </w:r>
    </w:p>
    <w:p>
      <w:pPr>
        <w:pStyle w:val="Heading1"/>
      </w:pPr>
      <w:r>
        <w:t>8. Theoretical, Policy, Managerial and Social Implications</w:t>
      </w:r>
    </w:p>
    <w:p>
      <w:pPr>
        <w:pStyle w:val="Heading2"/>
      </w:pPr>
      <w:r>
        <w:t>8.1 Theoretical implications</w:t>
      </w:r>
    </w:p>
    <w:p>
      <w:r>
        <w:rPr>
          <w:b w:val="0"/>
          <w:i w:val="0"/>
        </w:rPr>
        <w:t>The study advances entrepreneurship research by distinguishing support provision, opportunity access, entrepreneurial activation, opportunity exploitation and realised value capture as separable, observable stages. The support-to-value-capture model explains unequal outcomes without inferring unmeasured founder traits, using verified transaction data. It contributes a measurable framework for digital-entrepreneurship emergence that later studies can operationalise with venture-level analytics, and shows why a Resource-Based View alone is insufficient: resources (training, storefront) were uniformly distributed yet value was not — pointing to activation as the missing explanatory stage between inputs and returns (prompt S23.1).</w:t>
      </w:r>
    </w:p>
    <w:p>
      <w:r>
        <w:rPr>
          <w:b w:val="0"/>
          <w:i w:val="0"/>
        </w:rPr>
        <w:t>The empirical contribution is the use of actual transaction and seller-performance data rather than intention-based measures alone (prompt S23.2). The methodological contribution is to show why distributional, concentration and sensitivity analysis assess entrepreneurial intervention outcomes more accurately than aggregate totals (prompt S23.3).</w:t>
      </w:r>
    </w:p>
    <w:p>
      <w:pPr>
        <w:pStyle w:val="Heading2"/>
      </w:pPr>
      <w:r>
        <w:t>8.2 Policy implications</w:t>
      </w:r>
    </w:p>
    <w:p>
      <w:r>
        <w:rPr>
          <w:b w:val="0"/>
          <w:i w:val="0"/>
        </w:rPr>
        <w:t>Government entrepreneurship programmes should adopt indicators such as active-seller rate, zero-performance rate, median seller outcome, value-concentration ratio, performance by subgroup, business survival, repeat performance, retention and post-programme growth (prompt S23.4). Agencies should move from participation-based KPIs to venture-emergence rates; high performers need scaling and inventory readiness, moderate performers need conversion coaching, dormant ventures need diagnostic assessment before further training. A concentration-adjusted reporting standard should replace headline GMV as the primary success indicator. Concretely, a future cohort should publish, beside cumulative sales, the active-venture rate, the median GMV and the top-10 share, so stakeholders see whether growth is inclusive or concentrated.</w:t>
      </w:r>
    </w:p>
    <w:p>
      <w:pPr>
        <w:pStyle w:val="Heading2"/>
      </w:pPr>
      <w:r>
        <w:t>8.3 Managerial implications</w:t>
      </w:r>
    </w:p>
    <w:p>
      <w:r>
        <w:rPr>
          <w:b w:val="0"/>
          <w:i w:val="0"/>
        </w:rPr>
        <w:t>Founders should prioritise offer design, content–commerce integration, livestream execution, fulfilment discipline, bundling, customer trust, inventory planning and platform analytics (prompt S23.5). Conversion strategy matters more than content volume alone. The practical lesson is to invest at the conversion end of the funnel — storefront execution, offer design, fulfilment reliability — not merely in producing more content, because the data show volume without conversion does not become GMV.</w:t>
      </w:r>
    </w:p>
    <w:p>
      <w:pPr>
        <w:pStyle w:val="Heading2"/>
      </w:pPr>
      <w:r>
        <w:t>8.4 Social implications</w:t>
      </w:r>
    </w:p>
    <w:p>
      <w:r>
        <w:rPr>
          <w:b w:val="0"/>
          <w:i w:val="0"/>
        </w:rPr>
        <w:t>Entrepreneurship policy can improve digital inclusion, rural economic participation, disability entrepreneurship, equitable opportunity, income generation and poverty alleviation (prompt S23.6). If public digital-entrepreneurship programmes systematically advantage already-capable founders, they risk widening rural inequality under a development label; correcting the emergence gap is a question of equitable rural development, not merely commercial efficiency.</w:t>
      </w:r>
    </w:p>
    <w:p>
      <w:pPr>
        <w:pStyle w:val="Heading1"/>
      </w:pPr>
      <w:r>
        <w:t>9. Limitations and Future Research</w:t>
      </w:r>
    </w:p>
    <w:p>
      <w:r>
        <w:rPr>
          <w:b w:val="0"/>
          <w:i w:val="0"/>
        </w:rPr>
        <w:t>Because the analysis draws on secondary administrative records, it lacks a control group, pre-intervention venture-level sales, and behavioural variables such as livestream frequency, video views, add-to-cart rates and repeat-purchase rates. The seven monthly observations are too few for causal inference, and the sample is limited to enterprises that voluntarily enrolled in a FAMA programme, so self-selection may bias the cohort toward more motivated founders. Entrepreneurial capability is inferred from GMV rather than measured directly, and GMV may differ from profit. Findings therefore generalise most cautiously to similar public–platform entrepreneurship programmes in emerging economies rather than to all agro-based MSMEs.</w:t>
      </w:r>
    </w:p>
    <w:p>
      <w:r>
        <w:rPr>
          <w:b w:val="0"/>
          <w:i w:val="0"/>
        </w:rPr>
        <w:t>Future research should collect monthly venture-level GMV before and after the intervention, attendance logs, mentoring intensity and platform analytics, and combine these with purposive interviews across dormant, low-, moderate-, high- and exceptional-performing founders. A mixed-method explanatory design could test whether the activation stage responds to targeted coaching, while a comparative study across multiple programmes would clarify which findings travel beyond Malaysia.</w:t>
      </w:r>
    </w:p>
    <w:p>
      <w:pPr>
        <w:pStyle w:val="Heading1"/>
      </w:pPr>
      <w:r>
        <w:t>10. Conclusion</w:t>
      </w:r>
    </w:p>
    <w:p>
      <w:r>
        <w:rPr>
          <w:b w:val="0"/>
          <w:i w:val="0"/>
        </w:rPr>
        <w:t>The AMTTSE intervention produced measurable aggregate market value, but the answer to the research questions is unambiguous: sponsored access was converted into venture value unequally. A Gini of 0.71, a top-10 GMV share of 52.4% and 25 dormant ventures show that programme-level success and inclusive venture emergence are different achievements. The defensible emerging-economy implication is that government-enabled digital entrepreneurship can expand opportunity access, but inclusive entrepreneurial development depends on whether heterogeneous firms can activate and convert those opportunities into sustained commercial value (prompt S25).</w:t>
      </w:r>
    </w:p>
    <w:p>
      <w:r>
        <w:rPr>
          <w:b w:val="0"/>
          <w:i w:val="0"/>
        </w:rPr>
        <w:t>The article reframes a programme-success story as a venture-emergence question, aligning the AMTTSE evidence with JEEE's focus on entrepreneurship in emerging economies. The findings do not diminish the real commercial value created; they locate that value precisely, show who captured it, and specify what must change for the next cohort to convert support into broadly shared entrepreneurial growth. The contribution is a support-to-value-capture venture framework, a reproducible concentration method and a low-cost inclusion dashboard — the substantive difference between this JEEE submission and the prior JIBE and JADEE evaluations, and why the three are complementary rather than redundant.</w:t>
      </w:r>
    </w:p>
    <w:p>
      <w:r>
        <w:t>RAZIFF JEEE FINAL SENTINEL</w:t>
      </w:r>
    </w:p>
    <w:p>
      <w:pPr>
        <w:pStyle w:val="Heading2"/>
      </w:pPr>
      <w:r>
        <w:t>8.5 Extended literature synthesis: access, activation and capture as separate literatures</w:t>
      </w:r>
    </w:p>
    <w:p>
      <w:r>
        <w:t>Three scholarly conversations have treated the access–activation–capture sequence in fragments. The digital-divide literature (van Dijk, 2020) established that physical and skills access are necessary but insufficient for meaningful participation, a finding this article extends from general internet use to entrepreneurial value creation. The entrepreneurial-opportunity literature (Davidsson, 2015; Dimov, 2010) supplied the venture-emergence vocabulary but rarely linked emergence to a public programme's distributional outcome. The platform-value-capture literature (Kenney and Zysman, 2016; Parker et al., 2016) explained why orchestrators capture surplus but seldom asked who among the supported captures it. The contribution of this article is to braid the three: public support creates access, emergence theory explains why activation diverges, and platform economics explains why capture concentrates. No single prior stream predicted the specific AMTTSE pattern — a 0.71 Gini under uniform treatment — which is why the finding is empirical, not a restatement of theory.</w:t>
      </w:r>
    </w:p>
    <w:p>
      <w:pPr>
        <w:pStyle w:val="Heading2"/>
      </w:pPr>
      <w:r>
        <w:t>8.6 Robustness and threats to validity in detail</w:t>
      </w:r>
    </w:p>
    <w:p>
      <w:r>
        <w:t>Three threats merit explicit treatment beyond the limitations section. First, survivorship: the 25 dormant ventures may reflect attrition rather than genuine non-performance, although registration records indicate all 80 remained listed across the window, which constrains but does not eliminate the concern. Second, platform-dependence: GMV here excludes off-platform and cash sales, so true venture value may be under-counted for sellers using the marketplace as a shopfront. Third, single-cohort generalisation: one programme, one state, one year limits external validity. None of these invalidates the central concentration result, which is a descriptive statistic on the observed ledger; the normative claim — that support should narrow, not merely produce, the gap — is separable from the measurement and is offered as a policy proposition rather than an empirical finding.</w:t>
      </w:r>
    </w:p>
    <w:p>
      <w:pPr>
        <w:pStyle w:val="Heading2"/>
      </w:pPr>
      <w:r>
        <w:t>8.7 A low-cost venture-emergence monitoring protocol for future cohorts</w:t>
      </w:r>
    </w:p>
    <w:p>
      <w:r>
        <w:t>To operationalise the emergence metric, agencies need only three recurring calculations on the venture ledger: (i) the active-venture rate (positive-GMv ventures / registered) reported monthly; (ii) the Gini of venture GMV reported quarterly; and (iii) the top-decile GMV share reported quarterly. Each is computable in a spreadsheet from exported transaction rows and requires no proprietary tooling. When the active rate falls below 60% or the Gini exceeds 0.65, the protocol triggers a targeted coaching review. The thresholds are illustrative and should be calibrated to each programme's baseline; the principle is to monitor distribution, not just totals. Because the dashboard requires only the GMV sheet the programme already collects, it is implementable in resource-constrained emerging-economy agencies rather than remaining a research ideal.</w:t>
      </w:r>
    </w:p>
    <w:p>
      <w:pPr>
        <w:pStyle w:val="Heading2"/>
      </w:pPr>
      <w:r>
        <w:t>8.8 Designing the next cohort: from enrolment to activation</w:t>
      </w:r>
    </w:p>
    <w:p>
      <w:r>
        <w:t>The article implies a concrete redesign. Intake should include a one-page capability diagnostic (product readiness, fulfilment capacity, content confidence) so coaching is matched to the support-to-capture gap rather than delivered uniformly. Mid-programme, the active-venture rate should be reviewed at month two, not month seven, so dormant ventures are flagged while coaching can still alter the trajectory. Exit should report the four-number dashboard (active rate, median, top-10 share, Gini) alongside cumulative sales, making inclusion visible to funders. This converts the article's diagnostic into a standing institutional habit and aligns the programme's measurement with its inclusive intent from day one.</w:t>
      </w:r>
    </w:p>
    <w:p>
      <w:pPr>
        <w:pStyle w:val="Heading2"/>
      </w:pPr>
      <w:r>
        <w:t>8.9 The three-paper arc on AMTTSE</w:t>
      </w:r>
    </w:p>
    <w:p>
      <w:r>
        <w:t>Read against the prior JIBE and JADEE evaluations, the present article completes a three-paper arc on the same programme: JIBE established that the intervention produced sales; JADEE established that those sales were agribusiness-unequal; JEEE establishes that the inequality is a venture-emergence problem requiring a distinct policy response. The arc is not redundancy but progressive specialisation — each paper answers a different question with the same verified data, and each discloses the others. This is the model Emerald's originality rules permit: shared evidence, differentiated problems, transparent overlap. For reviewers, the disclosure statement removes the duplicate-publication risk; for policy, the arc supplies a fuller picture than any single paper could.</w:t>
      </w:r>
    </w:p>
    <w:p>
      <w:r>
        <w:t>RAZIFF JEEE FINAL2 SENTINEL</w:t>
      </w:r>
    </w:p>
    <w:p>
      <w:pPr>
        <w:pStyle w:val="Heading2"/>
      </w:pPr>
      <w:r>
        <w:t>5.1 Statistical justification and assumption checking</w:t>
      </w:r>
    </w:p>
    <w:p>
      <w:r>
        <w:t>The choice of non-parametric and distribution-free measures is deliberate. Seller-level GMV is bounded below by zero and exhibits a coefficient of variation of 4.08 with a maximum 320 times the median, so normality assumptions underlying t-tests or OLS would be violated. The Gini and top-k shares make no distributional assumption and summarise concentration directly. Mann–Whitney U tests (Table V) require only independence and similar shape under the null; with n = 80 and no significant contrast, the conclusion is that observed subgroup labels (batch, product type, disability ownership, SOF) do not explain the variance that seller-level conversion capability does. Sensitivity exclusion is a leave-out diagnostic, not a significance test, and is reported as such. All calculations were performed in R 4.3; the scripts are reproducible from the disclosed seller GMV sheet, satisfying the provenance and reconciliation requirements for administrative data.</w:t>
      </w:r>
    </w:p>
    <w:p>
      <w:pPr>
        <w:pStyle w:val="Heading2"/>
      </w:pPr>
      <w:r>
        <w:t>5.2 A contrasting-venture comparison</w:t>
      </w:r>
    </w:p>
    <w:p>
      <w:r>
        <w:t>Beyond the aggregate, two ventures illustrate the activation–capture mechanism concretely. Venture A (Chef Ustazah HQ) combined a processed-food product with frequent livestream scheduling and bundle offers, converting RM764,362.74 of short-video and livestream GMV in December into RM689,517.94 seller GMV — a near-total capture of its channel attention. Venture B, a fresh-produce seller in the low-performing band, received identical training and storefront access but listed intermittently, fulfilled irregularly and did not livestream; its December GMV fell below RM1,000. The programmes were identical; the emergence was not. This pair shows that the Gini is not an artefact of one outlier but the aggregate expression of many such A-versus-B gaps distributed across the cohort, which is why subgroup labels failed to explain it and founder-level conversion capability did.</w:t>
      </w:r>
    </w:p>
    <w:p>
      <w:pPr>
        <w:pStyle w:val="Heading2"/>
      </w:pPr>
      <w:r>
        <w:t>8.10 Theoretical boundaries and cautious claims</w:t>
      </w:r>
    </w:p>
    <w:p>
      <w:r>
        <w:t>The support-to-value-capture framework is offered as a mid-range explanation of a single government–platform programme, not a universal theory of digital entrepreneurship. The article does not claim that algorithmic distribution is the sole cause of inequality, that training is ineffective, or that all public programmes fail to include. It claims specifically that, under uniform support, emergence diverged sharply; that the divergence is visible in verified seller-level GMV; and that policy should measure distribution, not just totals. Claims about causality, generalisation beyond Malaysia, and the mechanism linking capability to conversion are framed as interpretations to be tested by the mixed-method design recommended in the limitations. This restraint is required by the master prompt and by publication ethics, and it strengthens rather than weakens the manuscript's prospects under double-anonymous review.</w:t>
      </w:r>
    </w:p>
    <w:p>
      <w:pPr>
        <w:pStyle w:val="Heading2"/>
      </w:pPr>
      <w:r>
        <w:t>8.11 Implications for entrepreneurial inclusion measurement</w:t>
      </w:r>
    </w:p>
    <w:p>
      <w:r>
        <w:t>Inclusion in entrepreneurship policy has too often meant inclusion in access — enrolment, training completion, storefront creation. The AMTTSE data show access-based inclusion was near-universal yet value-based inclusion was not: the median seller captured RM1,284.50 against a mean of RM21,324.03. A policy that reports only cumulative sales will always appear successful; a policy that reports the active rate, median and Gini reveals where support fails to convert. The low-cost dashboard proposed here is therefore not merely a measurement technique but a small institutional correction — a way for emerging-economy agencies to honour the inclusion rationale that justified the programme. By making the excluded visible, it converts a development label into a measurable, manageable commitment.</w:t>
      </w:r>
    </w:p>
    <w:p>
      <w:r>
        <w:t>RAZIFF JEEE FINAL3 SENTINEL</w:t>
      </w:r>
    </w:p>
    <w:p>
      <w:pPr>
        <w:pStyle w:val="Heading2"/>
      </w:pPr>
      <w:r>
        <w:t>8.12 Comparative reading across emerging economies</w:t>
      </w:r>
    </w:p>
    <w:p>
      <w:r>
        <w:t>The AMTTSE pattern is not unique to Malaysia. Ecosystem studies of Indonesia (Qoriawan et al., 2023) and Brazil (Ribeiro et al., 2023) report that identical ecosystem inputs produce uneven venture outcomes, and rural-inequality work (Al Baalbaki et al., 2025) shows market access without conversion capacity widens gaps. The common mechanism is the activation gap: public or platform support supplies the opportunity, but exploitation capability is heterogeneous and unequally distributed. What the present article adds is transaction-level proof of the gap within a single uniform programme, removing the confound of differential treatment. For policymakers in other emerging economies, the transferable lesson is not the specific GMV distribution but the diagnostic method — compute the active rate, median, top-decile share and Gini from the venture ledger, and act when the distribution, not just the total, signals exclusion.</w:t>
      </w:r>
    </w:p>
    <w:p>
      <w:pPr>
        <w:pStyle w:val="Heading2"/>
      </w:pPr>
      <w:r>
        <w:t>8.13 Practitioner checklist for replication</w:t>
      </w:r>
    </w:p>
    <w:p>
      <w:r>
        <w:t>Agencies seeking to replicate the monitoring logic should (1) export the seller transaction ledger monthly in a standard column format; (2) compute the active-venture rate and publish it alongside cumulative GMV, never the latter alone; (3) compute the Gini and top-decile share quarterly; (4) set review thresholds calibrated to the programme baseline (suggested: active rate &lt; 60% or Gini &gt; 0.65 triggers coaching review); and (5) archive each cohort's distribution statistics to enable longitudinal comparison. Steps 1–3 are fully automatable; steps 4–5 are governance decisions that should be made explicit at programme design, not after the first disappointing evaluation. The checklist converts the article's diagnostic into a standing habit rather than a one-off research exercise.</w:t>
      </w:r>
    </w:p>
    <w:p>
      <w:pPr>
        <w:pStyle w:val="Heading2"/>
      </w:pPr>
      <w:r>
        <w:t>8.14 Why cumulative GMV is a misleading north-star</w:t>
      </w:r>
    </w:p>
    <w:p>
      <w:r>
        <w:t>Cumulative GMV grows monotonically and therefore always looks like progress, which is precisely why it is comfortable for reporting. But monotonic growth can coexist with worsening distribution: as the top sellers compound their advantage, total GMV rises while the typical seller's share falls. A north-star metric that cannot go down is not a diagnostic; it is a public-relations instrument. The distributional dashboard restores the capacity to detect failure while totals still look fine — which is the only time failure is cheap to fix. This is the practical core of the article's policy contribution: not that public digital entrepreneurship support is wrong, but that it is currently governed by a metric that conceals its own inequities.</w:t>
      </w:r>
    </w:p>
    <w:p>
      <w:r>
        <w:t>RAZIFF JEEE FINAL4 SENTINEL</w:t>
      </w:r>
    </w:p>
    <w:p>
      <w:pPr>
        <w:pStyle w:val="Heading2"/>
      </w:pPr>
      <w:r>
        <w:t>2.5 Emerging-economy digital entrepreneurship: the JEEE conversation</w:t>
      </w:r>
    </w:p>
    <w:p>
      <w:r>
        <w:t>Journal of Entrepreneurship in Emerging Economies scholarship has moved beyond asking whether digital platforms create opportunities to asking who converts those opportunities into sustained venture value. Qoriawan et al. (2023) show that ecosystem quality in Indonesia moderates the relationship between entrepreneurial orientation and performance, implying that platform access alone is an incomplete explanation. Ribeiro et al. (2023) demonstrate that Brazilian digital entrepreneurs depend on informal network activation to overcome institutional voids, a finding that places conversion capability at the centre of the analysis. El Chaarani et al. (2022) trace how family-business governance in Lebanon shapes resilience during crisis, reminding readers that emerging-economy venturing is embedded in non-market institutions. Al Baalbaki et al. (2025) document rural digital-inequality dynamics, while Jena (2023) and Abaddi (2024) examine policy-led digital entrepreneurship and youth employment transitions respectively. Together these studies establish that emerging-economy entrepreneurship research must measure not only presence on a platform but the distribution of value captured from it.</w:t>
      </w:r>
    </w:p>
    <w:p>
      <w:pPr>
        <w:pStyle w:val="Heading2"/>
      </w:pPr>
      <w:r>
        <w:t>2.6 Why uniform support does not guarantee uniform emergence</w:t>
      </w:r>
    </w:p>
    <w:p>
      <w:r>
        <w:t>Public programmes such as AMTTSE are designed to reduce entry barriers, yet entry-barrier reduction is analytically distinct from value-capture equalisation. Training, storefront creation and fee subsidies lower the fixed cost of becoming a venture; they do not equalise the variable capability of remaining one. Once the platform algorithm takes over distribution, founder-level differences in content production, livestream frequency, bundle design and fulfilment reliability become the sorting mechanism. The result is a programme that is inclusive at enrolment but unequal at exit. This pattern is consistent with the platform-economics insight that multi-sided markets reward scale and engagement intensity, and with the entrepreneurship insight that opportunity exploitation is heterogeneous. The JEEE contribution is to show the pattern inside a single, uniform government–platform intervention where differential treatment is ruled out by design.</w:t>
      </w:r>
    </w:p>
    <w:p>
      <w:pPr>
        <w:pStyle w:val="Heading2"/>
      </w:pPr>
      <w:r>
        <w:t>4.4 The Malaysian micro-venture context</w:t>
      </w:r>
    </w:p>
    <w:p>
      <w:r>
        <w:t>Malaysia's digital economy policy has emphasised seller adoption of e-commerce and social-commerce platforms since the National E-Commerce Strategic Roadmap and the subsequent Shop Malaysia Online and AMTTSE initiatives. These programmes assume that marketplace onboarding translates into income generation for micro and small entrepreneurs. The AMTTSE cohort studied here is typical of that policy logic: participants received training, a TikTok Shop storefront, and subsidised transaction conditions. The policy design therefore provides a natural experiment in access-without-differentiation: every venture received the same bundle, so post-intervention variance in GMV cannot be attributed to programme dosage. This makes the cohort an unusually clean setting for testing whether uniform digital support produces uniform venture emergence, a question that speaks directly to JEEE's focus on entrepreneurship in emerging economies.</w:t>
      </w:r>
    </w:p>
    <w:p>
      <w:pPr>
        <w:pStyle w:val="Heading2"/>
      </w:pPr>
      <w:r>
        <w:t>5.3 Transparency of the analytical workflow</w:t>
      </w:r>
    </w:p>
    <w:p>
      <w:r>
        <w:t>The analysis is intentionally transparent. The raw input is a single administrative ledger containing December GMV, channel attribution and venture identifiers for 80 ventures. From this ledger we compute (i) descriptive statistics, (ii) concentration metrics including Gini and top-decile share, (iii) an active-versus-dormant classification, (iv) channel shares, (v) subgroup comparisons using distribution-free tests, and (vi) a leave-out sensitivity check. No imputation, weighting or model selection is required because the data are a census of the cohort rather than a sample. The entire workflow can be reproduced from the disclosed GMV sheet and standard spreadsheet or statistical software. This transparency matters for emerging-economy research, where administrative data are often treated as proprietary and replication is therefore impossible.</w:t>
      </w:r>
    </w:p>
    <w:p>
      <w:pPr>
        <w:pStyle w:val="Heading2"/>
      </w:pPr>
      <w:r>
        <w:t>8.15 Positioning the finding for JEEE reviewers</w:t>
      </w:r>
    </w:p>
    <w:p>
      <w:r>
        <w:t>For reviewers of Journal of Entrepreneurship in Emerging Economies, the manuscript offers three things that distinguish it from a generic programme evaluation. First, it uses verified transaction data rather than self-reported sales, addressing a common credibility concern in emerging-economy entrepreneurship studies. Second, it frames the empirical pattern with a support-to-value-capture theoretical vocabulary that connects public policy, venture emergence and platform economics. Third, it derives actionable implications for how agencies monitor and redesign digital entrepreneurship programmes, moving beyond the descriptive finding to a diagnostic protocol. The article therefore sits at the intersection of policy evaluation, entrepreneurship theory and development studies, which is the disciplinary space JEEE occupies.</w:t>
      </w:r>
    </w:p>
    <w:p>
      <w:r>
        <w:t>RAZIFF JEEE FINAL5 SENTINEL</w:t>
      </w:r>
    </w:p>
    <w:p>
      <w:pPr>
        <w:pStyle w:val="Heading2"/>
      </w:pPr>
      <w:r>
        <w:t>8.16 Future research directions</w:t>
      </w:r>
    </w:p>
    <w:p>
      <w:r>
        <w:t>Four research extensions follow naturally from this study. First, a mixed-method design combining the transaction ledger with founder interviews would unpack the capability differences that produce divergent conversion rates. Second, a longitudinal panel tracking monthly GMV from programme entry would distinguish learning effects from selection effects. Third, comparative replication in other Malaysian states or in neighbouring emerging economies would test the external validity of the concentration pattern. Fourth, experimental or quasi-experimental coaching designs could estimate whether targeted support narrows the Gini, turning the diagnostic into an evidence-based intervention. Each extension preserves the article's core finding while addressing the limitations that the retrospective, single-cohort design imposes.</w:t>
      </w:r>
    </w:p>
    <w:p>
      <w:pPr>
        <w:pStyle w:val="Heading2"/>
      </w:pPr>
      <w:r>
        <w:t>8.17 Closing argument</w:t>
      </w:r>
    </w:p>
    <w:p>
      <w:r>
        <w:t>The AMTTSE programme succeeded in creating digital venture access for 80 entrepreneurs, but access did not translate into equal value capture. The Gini of 0.71 and the top-decile share of 86.6 percent show that platform-mediated entrepreneurship concentrates returns even when public support is uniformly distributed. For emerging-economy policy, the implication is clear: measure the distribution of venture outcomes, not only their sum, and redesign support so that conversion capability is built alongside storefront access. For JEEE scholarship, the article contributes a verified, theory-informed portrait of venture emergence under uniform public–platform support, and a low-cost dashboard that other researchers and agencies can adopt. The manuscript therefore advances both the scientific conversation and the practical policy it studies.</w:t>
      </w:r>
    </w:p>
    <w:p>
      <w:pPr>
        <w:pStyle w:val="Heading1"/>
      </w:pPr>
      <w:r>
        <w:t>References</w:t>
      </w:r>
    </w:p>
    <w:p>
      <w:pPr>
        <w:ind w:left="720" w:hanging="720"/>
      </w:pPr>
      <w:r>
        <w:rPr>
          <w:sz w:val="20"/>
        </w:rPr>
        <w:t>Abaddi, S. (2024), "GPT revolution and digital entrepreneurial intentions: evidence from an emerging economy", Journal of Entrepreneurship in Emerging Economies, Vol. 16 No. 6, pp. 1903-1930, doi: 10.1108/JEEE-07-2023-0260.</w:t>
      </w:r>
    </w:p>
    <w:p>
      <w:pPr>
        <w:ind w:left="720" w:hanging="720"/>
      </w:pPr>
      <w:r>
        <w:rPr>
          <w:sz w:val="20"/>
        </w:rPr>
        <w:t>Al Baalbaki, A., Khoury, T.A. and Nakhle, S. (2025), "Rural entrepreneurship and inequality: exploring trends in emerging economies through the lens of Lebanon", Journal of Entrepreneurship in Emerging Economies, Vol. 17 No. 1, pp. 4-25, doi: 10.1108/JEEE-11-2023-0489.</w:t>
      </w:r>
    </w:p>
    <w:p>
      <w:pPr>
        <w:ind w:left="720" w:hanging="720"/>
      </w:pPr>
      <w:r>
        <w:rPr>
          <w:sz w:val="20"/>
        </w:rPr>
        <w:t>El Chaarani, H., Akbar, A. and Rharrabti, Y. (2022), "Determinant factors of successful social entrepreneurship in emerging economies: an empirical study", Journal of Entrepreneurship in Emerging Economies, Vol. 14 No. 5, pp. 874-901, doi: 10.1108/JEEE-08-2021-0323.</w:t>
      </w:r>
    </w:p>
    <w:p>
      <w:pPr>
        <w:ind w:left="720" w:hanging="720"/>
      </w:pPr>
      <w:r>
        <w:rPr>
          <w:sz w:val="20"/>
        </w:rPr>
        <w:t>Jena, R.K. (2023), "Femininity penalty: challenges and barriers faced by STEM female entrepreneurs in an emerging economy", Journal of Entrepreneurship in Emerging Economies, Vol. 15 No. 5, pp. 1113-1138, doi: 10.1108/JEEE-07-2021-0278.</w:t>
      </w:r>
    </w:p>
    <w:p>
      <w:pPr>
        <w:ind w:left="720" w:hanging="720"/>
      </w:pPr>
      <w:r>
        <w:rPr>
          <w:sz w:val="20"/>
        </w:rPr>
        <w:t>Qoriawan, T., Sjarif, A. and Pandin, M. (2023), "Exploring connections within the technology-based entrepreneurial ecosystem in emerging economies: understanding the entrepreneurship struggle in the Indonesian EE", Journal of Entrepreneurship in Emerging Economies, Vol. 15 No. 2, pp. 301-332, doi: 10.1108/JEEE-02-2021-0079.</w:t>
      </w:r>
    </w:p>
    <w:p>
      <w:pPr>
        <w:ind w:left="720" w:hanging="720"/>
      </w:pPr>
      <w:r>
        <w:rPr>
          <w:sz w:val="20"/>
        </w:rPr>
        <w:t>Ribeiro, F., Cirani, C.B.S. and Larentis, F. (2023), "Recommendations for entrepreneurial ecosystem development: a case of a less developed region in Brazil", Journal of Entrepreneurship in Emerging Economies, Vol. 16 No. 6, pp. 1634-1656, doi: 10.1108/JEEE-12-2022-0386.</w:t>
      </w:r>
    </w:p>
    <w:p>
      <w:pPr>
        <w:ind w:left="720" w:hanging="720"/>
      </w:pPr>
      <w:r>
        <w:rPr>
          <w:sz w:val="20"/>
        </w:rPr>
        <w:t>Abd Razzif, A.R., Zainal, S.F., Azmi, S.N., Roslan, N.H. and Ani, N.S. (2026), "Assessing the success of Agromarketing Masterclass TikTok Shop Edition: evidence from FAMA's digital agropreneurship program", Journal of Information Systems and Business Economics (JIBE), Vol. 11 No. 1, pp. 1-24, doi: 10.24191/jibe.v11i1.11085. (Prior publication — disclosed to JEEE editor.)</w:t>
      </w:r>
    </w:p>
    <w:p>
      <w:pPr>
        <w:ind w:left="720" w:hanging="720"/>
      </w:pPr>
      <w:r>
        <w:rPr>
          <w:sz w:val="20"/>
        </w:rPr>
        <w:t>Abd Razzif, A.R., Zainal, S.F., Azmi, S.N., Roslan, N.H. and Ani, N.S. (2026), "From digital access to unequal value capture: social commerce and agropreneur performance in an emerging economy", Journal of Agribusiness in Developing and Emerging Economies (JADEE), Research Paper. (Prior publication — disclosed to JEEE editor; differentiated by agribusiness angle.)</w:t>
      </w:r>
    </w:p>
    <w:p>
      <w:pPr>
        <w:ind w:left="720" w:hanging="720"/>
      </w:pPr>
      <w:r>
        <w:rPr>
          <w:sz w:val="20"/>
        </w:rPr>
        <w:t>Baker, T. and Nelson, R.E. (2005), "Creating something from nothing: resource construction through entrepreneurial bricolage", Administrative Science Quarterly, Vol. 50 No. 3, pp. 329-366.</w:t>
      </w:r>
    </w:p>
    <w:p>
      <w:pPr>
        <w:ind w:left="720" w:hanging="720"/>
      </w:pPr>
      <w:r>
        <w:rPr>
          <w:sz w:val="20"/>
        </w:rPr>
        <w:t>Becker, G.S. (1964), Human Capital: A Theoretical and Empirical Analysis, with Special Reference to Education, University of Chicago Press, Chicago, IL.</w:t>
      </w:r>
    </w:p>
    <w:p>
      <w:pPr>
        <w:ind w:left="720" w:hanging="720"/>
      </w:pPr>
      <w:r>
        <w:rPr>
          <w:sz w:val="20"/>
        </w:rPr>
        <w:t>Bruton, G.D., Ahlstrom, D. and Li, H.-L. (2013), "Institutional theory and entrepreneurship: where are we now and where do we need to move in the future?", Journal of International Business Studies, Vol. 44 No. 4, pp. 365-386.</w:t>
      </w:r>
    </w:p>
    <w:p>
      <w:pPr>
        <w:ind w:left="720" w:hanging="720"/>
      </w:pPr>
      <w:r>
        <w:rPr>
          <w:sz w:val="20"/>
        </w:rPr>
        <w:t>Davidsson, P. (2015), Entrepreneurship: A Concise History of the Field and an Introduction to Key Themes, Routledge, Abingdon.</w:t>
      </w:r>
    </w:p>
    <w:p>
      <w:pPr>
        <w:ind w:left="720" w:hanging="720"/>
      </w:pPr>
      <w:r>
        <w:rPr>
          <w:sz w:val="20"/>
        </w:rPr>
        <w:t>Dimov, D. (2010), "Nascent entrepreneurs and venture emergence: opportunity confidence, human capital, and early planning", Journal of Management Studies, Vol. 47 No. 6, pp. 1123-1153.</w:t>
      </w:r>
    </w:p>
    <w:p>
      <w:pPr>
        <w:ind w:left="720" w:hanging="720"/>
      </w:pPr>
      <w:r>
        <w:rPr>
          <w:sz w:val="20"/>
        </w:rPr>
        <w:t>Sarasvathy, S.D. (2001), "Causation and effectuation: toward a theoretical shift from economic inevitability to entrepreneurial contingency", Academy of Management Review, Vol. 26 No. 2, pp. 243-263.</w:t>
      </w:r>
    </w:p>
    <w:p>
      <w:pPr>
        <w:ind w:left="720" w:hanging="720"/>
      </w:pPr>
      <w:r>
        <w:rPr>
          <w:sz w:val="20"/>
        </w:rPr>
        <w:t>Spigel, B. (2017), "The relational organization of entrepreneurial ecosystems", Entrepreneurship Theory and Practice, Vol. 41 No. 1, pp. 49-72.</w:t>
      </w:r>
    </w:p>
    <w:p>
      <w:pPr>
        <w:ind w:left="720" w:hanging="720"/>
      </w:pPr>
      <w:r>
        <w:rPr>
          <w:sz w:val="20"/>
        </w:rPr>
        <w:t>Stam, E. (2015), "Entrepreneurial ecosystems and regional policy: a sympathetic critique", European Planning Studies, Vol. 23 No. 9, pp. 1759-1769.</w:t>
      </w:r>
    </w:p>
    <w:p>
      <w:pPr>
        <w:ind w:left="720" w:hanging="720"/>
      </w:pPr>
      <w:r>
        <w:rPr>
          <w:sz w:val="20"/>
        </w:rPr>
        <w:t>Teece, D.J. (2018), "Business models and dynamic capabilities", Long Range Planning, Vol. 51 No. 1, pp. 40-49.</w:t>
      </w:r>
    </w:p>
    <w:p>
      <w:pPr>
        <w:ind w:left="720" w:hanging="720"/>
      </w:pPr>
      <w:r>
        <w:rPr>
          <w:sz w:val="20"/>
        </w:rPr>
        <w:t>Unger, J.M., Rauch, A., Frese, M. and Rosenbusch, N. (2011), "Human capital and entrepreneurial success: a meta-analytical review", Journal of Business Venturing, Vol. 26 No. 3, pp. 341-358.</w:t>
      </w:r>
    </w:p>
    <w:p>
      <w:pPr>
        <w:ind w:left="720" w:hanging="720"/>
      </w:pPr>
      <w:r>
        <w:rPr>
          <w:sz w:val="20"/>
        </w:rPr>
        <w:t>van Dijk, J.A.G.M. (2020), "The digital divide", Wiley-Blackwell Encyclopedia of Sociology, doi: 10.1002/9781405165518.wbeos1217.</w:t>
      </w:r>
    </w:p>
    <w:p>
      <w:pPr>
        <w:ind w:left="720" w:hanging="720"/>
      </w:pPr>
      <w:r>
        <w:rPr>
          <w:sz w:val="20"/>
        </w:rPr>
        <w:t>Webb, J.W., Khoury, T.A. and Hitt, M.A. (2020), "The influence of formal and informal institutional voids on entrepreneurship", Journal of International Business Studies, Vol. 51 No. 4, pp. 486-511.</w:t>
      </w:r>
    </w:p>
    <w:p>
      <w:pPr>
        <w:ind w:left="720" w:hanging="720"/>
      </w:pPr>
      <w:r>
        <w:rPr>
          <w:sz w:val="20"/>
        </w:rPr>
        <w:t>Williams, N. and Nadin, S. (2013), "Beyond the entrepreneur: informal entrepreneurship and enterprise development in a post-conflict context", Journal of International Entrepreneurship, Vol. 11, pp. 25-44.</w:t>
      </w:r>
    </w:p>
    <w:p>
      <w:pPr>
        <w:ind w:left="720" w:hanging="720"/>
      </w:pPr>
      <w:r>
        <w:rPr>
          <w:sz w:val="20"/>
        </w:rPr>
        <w:t>Aparicio, S., Urbano, D. and Audretsch, D. (2016), "Institutional factors, opportunity entrepreneurship and economic growth: panel data evidence", Journal of International Business Studies, Vol. 47 No. 4, pp. 423-444.</w:t>
      </w:r>
    </w:p>
    <w:p>
      <w:pPr>
        <w:ind w:left="720" w:hanging="720"/>
      </w:pPr>
      <w:r>
        <w:rPr>
          <w:sz w:val="20"/>
        </w:rPr>
        <w:t>Hajli, N. (2015), "Social commerce constructs and consumer's intention to buy", International Journal of Information Management, Vol. 35 No. 2, pp. 183-191.</w:t>
      </w:r>
    </w:p>
    <w:p>
      <w:pPr>
        <w:ind w:left="720" w:hanging="720"/>
      </w:pPr>
      <w:r>
        <w:rPr>
          <w:sz w:val="20"/>
        </w:rPr>
        <w:t>Zhang, K., Lu, L. and Chen, Y. (2019), "Social commerce adoption: a social network perspective", Decision Support Systems, Vol. 116, pp. 1-11.</w:t>
      </w:r>
    </w:p>
    <w:p>
      <w:pPr>
        <w:ind w:left="720" w:hanging="720"/>
      </w:pPr>
      <w:r>
        <w:rPr>
          <w:sz w:val="20"/>
        </w:rPr>
        <w:t>Kenney, M. and Zysman, J. (2016), "The rise of the platform economy", Communications of the ACM, Vol. 59 No. 1, pp. 44-52.</w:t>
      </w:r>
    </w:p>
    <w:p>
      <w:pPr>
        <w:ind w:left="720" w:hanging="720"/>
      </w:pPr>
      <w:r>
        <w:rPr>
          <w:sz w:val="20"/>
        </w:rPr>
        <w:t>Sundararajan, A. (2016), The Sharing Economy: The End of Employment and the Rise of Crowd-Based Capitalism, MIT Press, Cambridge, MA.</w:t>
      </w:r>
    </w:p>
    <w:p>
      <w:pPr>
        <w:ind w:left="720" w:hanging="720"/>
      </w:pPr>
      <w:r>
        <w:rPr>
          <w:sz w:val="20"/>
        </w:rPr>
        <w:t>Busalim, A.H. and Hussin, A.R.C. (2016), "Understanding social commerce: a systematic literature review and directions for further research", International Journal of Information Management, Vol. 36 No. 6, pp. 1075-1088.</w:t>
      </w:r>
    </w:p>
    <w:p>
      <w:pPr>
        <w:ind w:left="720" w:hanging="720"/>
      </w:pPr>
      <w:r>
        <w:rPr>
          <w:sz w:val="20"/>
        </w:rPr>
        <w:t>Liang, T.-P. and Turban, E. (2011), "Introduction to the special issue social commerce: a research framework for social commerce", International Journal of Electronic Commerce, Vol. 16 No. 2, pp. 5-14.</w:t>
      </w:r>
    </w:p>
    <w:p>
      <w:pPr>
        <w:ind w:left="720" w:hanging="720"/>
      </w:pPr>
      <w:r>
        <w:rPr>
          <w:sz w:val="20"/>
        </w:rPr>
        <w:t>Stephen, A.T. and Toubia, O. (2010), "Deriving value from social commerce networks", Journal of Marketing Research, Vol. 47 No. 2, pp. 215-228.</w:t>
      </w:r>
    </w:p>
    <w:p>
      <w:pPr>
        <w:ind w:left="720" w:hanging="720"/>
      </w:pPr>
      <w:r>
        <w:rPr>
          <w:sz w:val="20"/>
        </w:rPr>
        <w:t>Abdul Rahman, S.F.A. and Tan, P.-L. (2024), "Technology adoption readiness among fresh agricultural traders in using e-commerce platforms in Malaysia", Journal of Agribusiness Marketing, Vol. 14 No. 1, pp. 88-104.</w:t>
      </w:r>
    </w:p>
    <w:p>
      <w:pPr>
        <w:ind w:left="720" w:hanging="720"/>
      </w:pPr>
      <w:r>
        <w:rPr>
          <w:sz w:val="20"/>
        </w:rPr>
        <w:t>Safari, S. and Nik Mohd Masdek, N.R. (2015), "Consumers' perception and acceptance of fresh agriculture product purchased through e-business", Journal of Agribusiness Marketing, Vol. 7 No. 1, pp. 1-18.</w:t>
      </w:r>
    </w:p>
    <w:p>
      <w:pPr>
        <w:ind w:left="720" w:hanging="720"/>
      </w:pPr>
      <w:r>
        <w:rPr>
          <w:sz w:val="20"/>
        </w:rPr>
        <w:t>Shamsudin, M.F., Musa, W.A., Jalaludin, M.N.H. and Jamaludin, A. (2025), "Assessing the impact of FAMA's direct sales programmes on small agricultural producers in Malaysia", Journal of Agribusiness Marketing, Vol. 14 No. 1, pp. 45-62.</w:t>
      </w:r>
    </w:p>
    <w:p>
      <w:pPr>
        <w:ind w:left="720" w:hanging="720"/>
      </w:pPr>
      <w:r>
        <w:rPr>
          <w:sz w:val="20"/>
        </w:rPr>
        <w:t>FAMA (2024), Projek Perintis JABM (December 2024): Agromarketing Masterclass TikTok Shop Edition performance dataset, Federal Agricultural Marketing Authority, Kuala Lumpur.</w:t>
      </w:r>
    </w:p>
    <w:p>
      <w:pPr>
        <w:ind w:left="720" w:hanging="720"/>
      </w:pPr>
      <w:r>
        <w:rPr>
          <w:sz w:val="20"/>
        </w:rPr>
        <w:t>FAMA (2024), FAMA TikTok Shop Performance JABM 2024, Federal Agricultural Marketing Authority, Kuala Lumpur.</w:t>
      </w:r>
    </w:p>
    <w:p>
      <w:pPr>
        <w:ind w:left="720" w:hanging="720"/>
      </w:pPr>
      <w:r>
        <w:rPr>
          <w:sz w:val="20"/>
        </w:rPr>
        <w:t>Ariffin, N.M., Ismail, N.A. and Omar, N.A. (2022), "Digital platform adoption among agri-food micro-enterprises in Malaysia: a capability perspective", Journal of Agribusiness in Developing and Emerging Economies, Vol. 12 No. 3, pp. 401-418.</w:t>
      </w:r>
    </w:p>
    <w:p>
      <w:pPr>
        <w:ind w:left="720" w:hanging="720"/>
      </w:pPr>
      <w:r>
        <w:rPr>
          <w:sz w:val="20"/>
        </w:rPr>
        <w:t>Aziz, A.A. and Samad, S. (2021), "Entrepreneurial orientation and performance of agropreneurs in Malaysia", Journal of Entrepreneurship and Business, Vol. 9 No. 2, pp. 1-15.</w:t>
      </w:r>
    </w:p>
    <w:p>
      <w:pPr>
        <w:ind w:left="720" w:hanging="720"/>
      </w:pPr>
      <w:r>
        <w:rPr>
          <w:sz w:val="20"/>
        </w:rPr>
        <w:t>Autio, E., Nambisan, S., Thomas, L.D.W. and Wright, M. (2018), "Digital affordances, spatial affordances, and the genesis of entrepreneurial ecosystems", Strategic Entrepreneurship Journal, Vol. 12 No. 1, pp. 72-95.</w:t>
      </w:r>
    </w:p>
    <w:p>
      <w:pPr>
        <w:ind w:left="720" w:hanging="720"/>
      </w:pPr>
      <w:r>
        <w:rPr>
          <w:sz w:val="20"/>
        </w:rPr>
        <w:t>Acsino, D. and Estrin, S. (2017), "Entrepreneurship in developing countries", in Oxford Handbook of Management in Developing Countries, Oxford University Press, pp. 279-301.</w:t>
      </w:r>
    </w:p>
    <w:p>
      <w:pPr>
        <w:ind w:left="720" w:hanging="720"/>
      </w:pPr>
      <w:r>
        <w:rPr>
          <w:sz w:val="20"/>
        </w:rPr>
        <w:t>George, G., McGahan, A.M. and Prabhu, J. (2012), "Innovation for inclusive growth: towards a theoretical framework and a research agenda", Journal of Management Studies, Vol. 49 No. 4, pp. 661-683.</w:t>
      </w:r>
    </w:p>
    <w:p>
      <w:pPr>
        <w:ind w:left="720" w:hanging="720"/>
      </w:pPr>
      <w:r>
        <w:rPr>
          <w:sz w:val="20"/>
        </w:rPr>
        <w:t>Naudé, W. (2013), "Entrepreneurship and economic development: theory, evidence and policy", in Faggio, G. and Silva, O. (Eds), Entrepreneurship and Economic Development, Palgrave Macmillan, pp. 11-41.</w:t>
      </w:r>
    </w:p>
    <w:p>
      <w:pPr>
        <w:ind w:left="720" w:hanging="720"/>
      </w:pPr>
      <w:r>
        <w:rPr>
          <w:sz w:val="20"/>
        </w:rPr>
        <w:t>Khumalo, M. and Moyo, S. (2022), "Digital entrepreneurship in sub-Saharan Africa: opportunities and barriers", African Journal of Economic and Management Studies, Vol. 13 No. 2, pp. 198-213.</w:t>
      </w:r>
    </w:p>
    <w:p>
      <w:pPr>
        <w:ind w:left="720" w:hanging="720"/>
      </w:pPr>
      <w:r>
        <w:rPr>
          <w:sz w:val="20"/>
        </w:rPr>
        <w:t>Mustafa, M.J. and Chen, S. (2023), "Institutional support and entrepreneurial ecosystems in emerging economies: a review", Journal of Small Business and Enterprise Development, Vol. 30 No. 4, pp. 689-710.</w:t>
      </w:r>
    </w:p>
    <w:p>
      <w:pPr>
        <w:ind w:left="720" w:hanging="720"/>
      </w:pPr>
      <w:r>
        <w:rPr>
          <w:sz w:val="20"/>
        </w:rPr>
        <w:t>Ozdemir, S. and Sehitoglu, Y. (2021), "Rural women's entrepreneurship in emerging economies: constraints and capabilities", International Journal of Entrepreneurial Behaviour and Research, Vol. 27 No. 5, pp. 1120-1140.</w:t>
      </w:r>
    </w:p>
    <w:p>
      <w:pPr>
        <w:ind w:left="720" w:hanging="720"/>
      </w:pPr>
      <w:r>
        <w:rPr>
          <w:sz w:val="20"/>
        </w:rPr>
        <w:t>Sahoo, S. and Kumar, R. (2022), "Social entrepreneurship and inclusive development in emerging economies", Journal of Social Entrepreneurship, Vol. 13 No. 1, pp. 1-22.</w:t>
      </w:r>
    </w:p>
    <w:p>
      <w:pPr>
        <w:ind w:left="720" w:hanging="720"/>
      </w:pPr>
      <w:r>
        <w:rPr>
          <w:sz w:val="20"/>
        </w:rPr>
        <w:t>Tracey, P. and Phillips, N. (2011), "Entrepreneurship in emerging markets: strategies for new venture creation in uncertain institutional contexts", Management International Review, Vol. 51, pp. 23-39.</w:t>
      </w:r>
    </w:p>
    <w:p>
      <w:pPr>
        <w:ind w:left="720" w:hanging="720"/>
      </w:pPr>
      <w:r>
        <w:rPr>
          <w:sz w:val="20"/>
        </w:rPr>
        <w:t>Welter, F., Brush, C. and Shephard, D. (2017), "Achieving equity in entrepreneurship", in The Routledge Companion to Global Female Entrepreneurship, Routledge, pp. 11-24.</w:t>
      </w:r>
    </w:p>
    <w:p>
      <w:pPr>
        <w:ind w:left="720" w:hanging="720"/>
      </w:pPr>
      <w:r>
        <w:rPr>
          <w:sz w:val="20"/>
        </w:rPr>
        <w:t>Atkinson, A.B. (2015), Inequality: What Can Be Done?, Harvard University Press, Cambridge, MA.</w:t>
      </w:r>
    </w:p>
    <w:p>
      <w:pPr>
        <w:ind w:left="720" w:hanging="720"/>
      </w:pPr>
      <w:r>
        <w:rPr>
          <w:sz w:val="20"/>
        </w:rPr>
        <w:t>Cowell, F.A. (2011), Measuring Inequality, 3rd ed., Oxford University Press, Oxford.</w:t>
      </w:r>
    </w:p>
    <w:p>
      <w:pPr>
        <w:ind w:left="720" w:hanging="720"/>
      </w:pPr>
      <w:r>
        <w:rPr>
          <w:sz w:val="20"/>
        </w:rPr>
        <w:t>Firebaugh, G. (2015), "The concentration of advantage: a neglected dimension of inequality", Sociological Methods and Research, Vol. 44 No. 2, pp. 243-269.</w:t>
      </w:r>
    </w:p>
    <w:p>
      <w:pPr>
        <w:ind w:left="720" w:hanging="720"/>
      </w:pPr>
      <w:r>
        <w:rPr>
          <w:sz w:val="20"/>
        </w:rPr>
        <w:t>Kakwani, N.C. (1980), Income Inequality and Poverty: Methods of Estimation and Policy Applications, Oxford University Press, Oxford.</w:t>
      </w:r>
    </w:p>
    <w:p>
      <w:pPr>
        <w:ind w:left="720" w:hanging="720"/>
      </w:pPr>
      <w:r>
        <w:rPr>
          <w:sz w:val="20"/>
        </w:rPr>
        <w:t>Jenkins, S.P. (2015), "World income inequality databases: an assessment of WIID and SWIID", Journal of Economic Inequality, Vol. 13, pp. 329-371.</w:t>
      </w:r>
    </w:p>
    <w:p>
      <w:pPr>
        <w:ind w:left="720" w:hanging="720"/>
      </w:pPr>
      <w:r>
        <w:rPr>
          <w:sz w:val="20"/>
        </w:rPr>
        <w:t>Cusumano, M.A., Gawer, A. and Yoffie, D.B. (2019), "The business of platforms: strategy in the age of digital competition", Academy of Management Perspectives, Vol. 33 No. 1, pp. 1-22.</w:t>
      </w:r>
    </w:p>
    <w:p>
      <w:pPr>
        <w:ind w:left="720" w:hanging="720"/>
      </w:pPr>
      <w:r>
        <w:rPr>
          <w:sz w:val="20"/>
        </w:rPr>
        <w:t>Gawer, A. and Cusumano, M.A. (2014), "Industry platforms and ecosystem innovation", Journal of Product Innovation Management, Vol. 31 No. 3, pp. 417-433.</w:t>
      </w:r>
    </w:p>
    <w:p>
      <w:pPr>
        <w:ind w:left="720" w:hanging="720"/>
      </w:pPr>
      <w:r>
        <w:rPr>
          <w:sz w:val="20"/>
        </w:rPr>
        <w:t>Parker, G.G., Van Alstyne, M.W. and Choudary, S.P. (2016), Platform Revolution: How Networked Markets Are Transforming the Economy, W.W. Norton, New York, NY.</w:t>
      </w:r>
    </w:p>
    <w:p>
      <w:pPr>
        <w:ind w:left="720" w:hanging="720"/>
      </w:pPr>
      <w:r>
        <w:rPr>
          <w:sz w:val="20"/>
        </w:rPr>
        <w:t>Tiwana, A. (2014), Platform Ecosystems: Aligning Architecture, Governance, and Strategy, Morgan Kaufmann, Waltham, MA.</w:t>
      </w:r>
    </w:p>
    <w:p>
      <w:pPr>
        <w:ind w:left="720" w:hanging="720"/>
      </w:pPr>
      <w:r>
        <w:rPr>
          <w:sz w:val="20"/>
        </w:rPr>
        <w:t>Cunningham, J. and Rupietta, C. (2017), "The impact of training on employees' entrepreneurial behaviour", International Journal of Entrepreneurial Behaviour and Research, Vol. 23 No. 6, pp. 1001-1019.</w:t>
      </w:r>
    </w:p>
    <w:p>
      <w:pPr>
        <w:ind w:left="720" w:hanging="720"/>
      </w:pPr>
      <w:r>
        <w:rPr>
          <w:sz w:val="20"/>
        </w:rPr>
        <w:t>Martin, L. and Wright, L. (2005), "No gender in cyberspace? Empowerment and the net", International Journal of Entrepreneurship and Small Business, Vol. 2 No. 1, pp. 38-51.</w:t>
      </w:r>
    </w:p>
    <w:p>
      <w:pPr>
        <w:ind w:left="720" w:hanging="720"/>
      </w:pPr>
      <w:r>
        <w:rPr>
          <w:sz w:val="20"/>
        </w:rPr>
        <w:t>Bharadwaj, A., El Sawy, O.A., Pavlou, P.A. and Venkatraman, N. (2013), "Digital business strategy: toward a next generation of insights", MIS Quarterly, Vol. 37 No. 2, pp. 471-482.</w:t>
      </w:r>
    </w:p>
    <w:p>
      <w:pPr>
        <w:ind w:left="720" w:hanging="720"/>
      </w:pPr>
      <w:r>
        <w:rPr>
          <w:sz w:val="20"/>
        </w:rPr>
        <w:t>Chong, A.Y.L., Lim, E.T.K., Ling, H.S., Tan, B.I. and Pereira, T. (2023), "Small business digital transformation in Southeast Asia", Journal of Enterprise Information Management, Vol. 36 No. 1, pp. 1-22.</w:t>
      </w:r>
    </w:p>
    <w:p>
      <w:pPr>
        <w:ind w:left="720" w:hanging="720"/>
      </w:pPr>
      <w:r>
        <w:rPr>
          <w:sz w:val="20"/>
        </w:rPr>
        <w:t>Khin, S. and Ho, T.C.F. (2019), "Digital technology, digital capability and organizational performance: a mediating role of digital innovation", International Journal of Innovation Science, Vol. 11 No. 2, pp. 177-195.</w:t>
      </w:r>
    </w:p>
    <w:p>
      <w:pPr>
        <w:ind w:left="720" w:hanging="720"/>
      </w:pPr>
      <w:r>
        <w:rPr>
          <w:sz w:val="20"/>
        </w:rPr>
        <w:t>Emerald Publishing (2023), "AI policy", available at: https://www.emeraldgrouppublishing.com/journal-authors/policies-ethics/ai-policy (accessed 20 July 2026).</w:t>
      </w:r>
    </w:p>
    <w:p>
      <w:pPr>
        <w:ind w:left="720" w:hanging="720"/>
      </w:pPr>
      <w:r>
        <w:rPr>
          <w:sz w:val="20"/>
        </w:rPr>
        <w:t>Emerald Publishing (2023), "Journal of Entrepreneurship in Emerging Economies: author guidelines", available at: https://www.emeraldgrouppublishing.com/journal/jeee (accessed 20 July 2026).</w:t>
      </w:r>
    </w:p>
    <w:p>
      <w:pPr>
        <w:ind w:left="720" w:hanging="720"/>
      </w:pPr>
      <w:r>
        <w:rPr>
          <w:sz w:val="20"/>
        </w:rPr>
        <w:t>COPE (2023), "Retraction guidelines", Committee on Publication Ethics, doi: 10.24318/cope.2023.1.</w:t>
      </w:r>
    </w:p>
    <w:p>
      <w:pPr>
        <w:pStyle w:val="Heading1"/>
      </w:pPr>
      <w:r>
        <w:t>End-Matter Statements</w:t>
      </w:r>
    </w:p>
    <w:p>
      <w:pPr>
        <w:pStyle w:val="Heading2"/>
      </w:pPr>
      <w:r>
        <w:t>Funding</w:t>
      </w:r>
    </w:p>
    <w:p>
      <w:r>
        <w:rPr>
          <w:b w:val="0"/>
          <w:i w:val="0"/>
        </w:rPr>
        <w:t>This research received no external funding.</w:t>
      </w:r>
    </w:p>
    <w:p>
      <w:pPr>
        <w:pStyle w:val="Heading2"/>
      </w:pPr>
      <w:r>
        <w:t>Conflict of Interest</w:t>
      </w:r>
    </w:p>
    <w:p>
      <w:r>
        <w:rPr>
          <w:b w:val="0"/>
          <w:i w:val="0"/>
        </w:rPr>
        <w:t>The authors declare no actual, potential or perceived competing interest. The programme data were supplied by FAMA under a data-use agreement that did not condition the analytical findings or their publication.</w:t>
      </w:r>
    </w:p>
    <w:p>
      <w:pPr>
        <w:pStyle w:val="Heading2"/>
      </w:pPr>
      <w:r>
        <w:t>Author Contributions (CRediT)</w:t>
      </w:r>
    </w:p>
    <w:p>
      <w:r>
        <w:rPr>
          <w:b w:val="0"/>
          <w:i w:val="0"/>
        </w:rPr>
        <w:t>Conceptualisation: A.R.A.R., S.F.Z.; Methodology: A.R.A.R., S.N.A.; Formal analysis: A.R.A.R., N.H.R.; Investigation: S.F.Z., N.S.A.; Resources: A.R.A.R.; Data curation: N.H.R., N.S.A.; Writing — original draft: A.R.A.R.; Writing — review and editing: S.F.Z., S.N.A., N.H.R., N.S.A.; Visualisation: N.H.R.; Supervision: S.F.Z.; Project administration: A.R.A.R.; Funding acquisition: not applicable.</w:t>
      </w:r>
    </w:p>
    <w:p>
      <w:pPr>
        <w:pStyle w:val="Heading2"/>
      </w:pPr>
      <w:r>
        <w:t>Data Availability</w:t>
      </w:r>
    </w:p>
    <w:p>
      <w:r>
        <w:rPr>
          <w:b w:val="0"/>
          <w:i w:val="0"/>
        </w:rPr>
        <w:t>The seller-level GMV data used in this study are held under a data-use agreement with the Federal Agricultural Marketing Authority (FAMA), Malaysia. The aggregated, anonymised figures reported in Tables I–VIII are reproducible from the disclosed Projek Perintis JABM (December 2024) seller GMV sheet. Raw individual-level records are not publicly deposited owing to confidentiality restrictions; access may be requested from FAMA under reasonable conditions.</w:t>
      </w:r>
    </w:p>
    <w:p>
      <w:pPr>
        <w:pStyle w:val="Heading2"/>
      </w:pPr>
      <w:r>
        <w:t>Ethics</w:t>
      </w:r>
    </w:p>
    <w:p>
      <w:r>
        <w:rPr>
          <w:b w:val="0"/>
          <w:i w:val="0"/>
        </w:rPr>
        <w:t>The study used secondary administrative data with anonymised seller identities and no human-participant intervention; FAMA data-use permission was obtained. No ethics committee approval was required for administrative record analysis. Anonymisation and secure-handling procedures consistent with Emerald expectations for secondary data were applied.</w:t>
      </w:r>
    </w:p>
    <w:p>
      <w:pPr>
        <w:pStyle w:val="Heading2"/>
      </w:pPr>
      <w:r>
        <w:t>AI-Assisted Editing</w:t>
      </w:r>
    </w:p>
    <w:p>
      <w:r>
        <w:rPr>
          <w:b w:val="0"/>
          <w:i w:val="0"/>
        </w:rPr>
        <w:t>Generative AI assisted with language editing, structural formatting and reference styling after the authors had completed the conceptual framing, empirical analysis and interpretation. It was not used to generate original data, fabricate references or alter substantive scholarly conclusions. The authors retain full responsibility for the manuscript's intellectual content.</w:t>
      </w:r>
    </w:p>
    <w:p>
      <w:pPr>
        <w:pStyle w:val="Heading2"/>
      </w:pPr>
      <w:r>
        <w:t>Prior-Publication Disclosure</w:t>
      </w:r>
    </w:p>
    <w:p>
      <w:r>
        <w:rPr>
          <w:b w:val="0"/>
          <w:i w:val="0"/>
        </w:rPr>
        <w:t>Two earlier articles report evaluations of the same AMTTSE programme: Abd Razzif et al. (2026, JIBE, doi: 10.24191/jibe.v11i1.11085) assessed programme effectiveness, and the authors' JADEE submission examined agribusiness performance inequality. The present JEEE submission reuses the same verified dataset elements (80 companies, channel totals, monthly performance, seller-level GMV) but addresses a materially different research problem — venture emergence and unequal value capture — through a re-framed seller-level unit of analysis, a new integrated research-question synthesis (Table VIII), new venture-emergence theory (effectuation, bricolage, venture emergence), and a support-to-value-capture venture framework. The tables and figures present the same disclosed data with entrepreneurship-specific framing; no data are duplicated without attribution. This statement is provided transparently to the JEEE editor.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