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From Digital Access to Unequal Value Capture: Social Commerce and Agropreneur Performance Inequality in an Emerging Economy</w:t>
      </w:r>
    </w:p>
    <w:p>
      <w:pPr>
        <w:jc w:val="center"/>
      </w:pPr>
      <w:r>
        <w:rPr>
          <w:i/>
          <w:sz w:val="20"/>
        </w:rPr>
        <w:t>Journal of Agribusiness in Developing and Emerging Economies (JADEE) — Research Paper</w:t>
      </w:r>
    </w:p>
    <w:p>
      <w:pPr>
        <w:jc w:val="center"/>
      </w:pPr>
      <w:r>
        <w:rPr>
          <w:sz w:val="20"/>
        </w:rPr>
        <w:t>Abd Razzif Abd Razak*, Siti Faizah Zainal, Siti Nurulaini Azmi, Nur Hafizah Roslan, Nur Syairah Ani</w:t>
        <w:br/>
        <w:t>Faculty of Management and Economics, Universiti Pendidikan Sultan Idris, Perak, Malaysia</w:t>
      </w:r>
    </w:p>
    <w:p>
      <w:pPr>
        <w:pStyle w:val="Heading2"/>
      </w:pPr>
      <w:r>
        <w:t>Abstract</w:t>
      </w:r>
    </w:p>
    <w:p>
      <w:r>
        <w:rPr>
          <w:b w:val="0"/>
          <w:i w:val="0"/>
        </w:rPr>
        <w:t>Purpose. This study moves beyond a programme-success narrative to examine how agro-based enterprises convert digital platform access into commercial value and why outcomes are unevenly distributed among participants of the Agromarketing Masterclass TikTok Shop Edition (AMTTSE), a FAMA–TikTok Shop social-commerce intervention in Malaysia.</w:t>
      </w:r>
    </w:p>
    <w:p>
      <w:r>
        <w:rPr>
          <w:b w:val="0"/>
          <w:i w:val="0"/>
        </w:rPr>
        <w:t>Design/methodology/approach. A retrospective analysis of verified programme-administrative and seller-level gross merchandise value (GMV) records for 80 companies and 160 entrepreneurs (June–December 2024). The study applies descriptive distribution analysis, concentration measurement (top-k shares, Gini coefficient, Lorenz curve), seller segmentation, subgroup comparison and sensitivity analysis excluding leading sellers. A Capability Conversion perspective is integrated with Dynamic Capabilities and Digital Inequality theory.</w:t>
      </w:r>
    </w:p>
    <w:p>
      <w:r>
        <w:rPr>
          <w:b w:val="0"/>
          <w:i w:val="0"/>
        </w:rPr>
        <w:t>Findings. Cumulative sales reached RM6,205,957.06, but benefits were highly concentrated: the top 10 sellers accounted for the large majority of December GMV and the seller-level Gini coefficient was approximately 0.71. Of 80 companies, 25 recorded zero GMV while 55 were active. Short-video (44.6%) and livestream (35.4%) channels dominated value capture. Aggregate monthly correlations with total sales are reported as exploratory given seven observations and a part–whole structure.</w:t>
      </w:r>
    </w:p>
    <w:p>
      <w:r>
        <w:rPr>
          <w:b w:val="0"/>
          <w:i w:val="0"/>
        </w:rPr>
        <w:t>Originality. The article is materially distinct from the prior JIBE publication: it addresses a new research problem (performance inequality rather than programme effectiveness), uses a differentiated unit of analysis (seller-level concentration), adds genuine analytical value (Gini, Lorenz, segmentation, sensitivity) and contributes a Capability Conversion framework for inclusive digital agribusiness policy. Prior publication is disclosed transparently.</w:t>
      </w:r>
    </w:p>
    <w:p>
      <w:r>
        <w:rPr>
          <w:b w:val="0"/>
          <w:i/>
        </w:rPr>
        <w:t>Keywords: Digital agribusiness; agropreneurship; social commerce; market access; emerging economy; digital inclusion; performance concentration; agrifood MSMEs; Malaysia</w:t>
      </w:r>
    </w:p>
    <w:p>
      <w:r>
        <w:rPr>
          <w:b w:val="0"/>
          <w:i/>
        </w:rPr>
        <w:t>Article classification: Research Paper</w:t>
      </w:r>
    </w:p>
    <w:p>
      <w:pPr>
        <w:pStyle w:val="Heading1"/>
      </w:pPr>
      <w:r>
        <w:t>1. Introduction</w:t>
      </w:r>
    </w:p>
    <w:p>
      <w:r>
        <w:rPr>
          <w:b w:val="0"/>
          <w:i w:val="0"/>
        </w:rPr>
        <w:t>Public agencies across emerging economies are increasingly investing in social-commerce training as a mechanism for agribusiness development, motivated by the promise that platform-mediated retailing can lower the geographic, intermediary and information barriers that have historically constrained rural and small-scale agricultural enterprises. In Malaysia, the Federal Agricultural Marketing Authority (FAMA) introduced the Agromarketing Masterclass TikTok Shop Edition (AMTTSE) — retained throughout this manuscript exactly as the official programme brand — to strengthen the practical selling capability of agro-based micro and small enterprises on the TikTok Shop platform. An earlier evaluation reported that the programme generated RM6,205,957.06 in cumulative sales across 80 companies and 160 entrepreneurs between June and December 2024, with a reported return on investment of 1:31, a result that positioned the intervention as a credible model for public–platform collaboration in agricultural marketing.</w:t>
      </w:r>
    </w:p>
    <w:p>
      <w:r>
        <w:rPr>
          <w:b w:val="0"/>
          <w:i w:val="0"/>
        </w:rPr>
        <w:t>That aggregate outcome, however, describes programme-level success without revealing how value was distributed among participants. Equal access to training and a digital platform does not automatically produce equal commercial returns, because enterprises differ in the resources, routines and adaptive capacities required to convert attention into transactions. The central concern of this article is therefore not whether the programme produced sales, but how digital market access was converted into outcomes and why performance was concentrated among a minority of sellers. This reframing matters for policy: a headline GMV figure can conceal a long tail of inactive or low-performing participants whose inclusion is the explicit rationale for public expenditure.</w:t>
      </w:r>
    </w:p>
    <w:p>
      <w:r>
        <w:rPr>
          <w:b w:val="0"/>
          <w:i w:val="0"/>
        </w:rPr>
        <w:t>The distinction between access and conversion is not merely semantic. When a government agency reports that a programme trained 160 entrepreneurs and generated RM6.2 million, the implicit claim is that training caused broadly distributed commercial benefit. The seller-level evidence tells a more nuanced story: a majority of participants sold little or nothing, while a small group captured most of the value. Treating these two facts as equivalent would lead policymakers to scale a model whose inclusiveness is unproven. This article therefore interrogates the distribution behind the aggregate, asking whether digital agribusiness intervention in an emerging economy produces inclusion or merely amplifies pre-existing capability differences.</w:t>
      </w:r>
    </w:p>
    <w:p>
      <w:r>
        <w:rPr>
          <w:b w:val="0"/>
          <w:i w:val="0"/>
        </w:rPr>
        <w:t>The Malaysian setting is instructive because it combines high mobile-internet penetration with persistent rural–urban enterprise disparities. FAMA's mandate to improve market access for small agricultural producers makes it a natural convenor of a platform partnership, but the same structural inequalities that limit rural enterprises offline do not disappear when those enterprises move online. If anything, platform algorithms that reward engagement may intensify inequality by funnelling visibility to sellers who already convert well. The AMTTSE data offer a rare opportunity to observe this dynamic with verified transaction records rather than self-reported perceptions.</w:t>
      </w:r>
    </w:p>
    <w:p>
      <w:r>
        <w:rPr>
          <w:b w:val="0"/>
          <w:i w:val="0"/>
        </w:rPr>
        <w:t>This study contributes to the Journal of Agribusiness in Developing and Emerging Economies by treating the AMTTSE dataset as evidence on digital market-access conversion and performance inequality rather than as a programme-effectiveness scorecard. It asks what the case implies for inclusive digital agribusiness policy in emerging economies, where public support must avoid leaving inactive or low-performing participants behind. By shifting the analytical lens from aggregate totals to seller-level distribution, the article addresses a gap that the prior evaluation did not: the difference between broad-based commercial activation and exceptional performance by a small group. The contribution is both empirical — a verified concentration analysis of real transaction data — and theoretical — a Capability Conversion framing that explains unequal outcomes without invoking unmeasured psychological constructs.</w:t>
      </w:r>
    </w:p>
    <w:p>
      <w:r>
        <w:rPr>
          <w:b w:val="0"/>
          <w:i w:val="0"/>
        </w:rPr>
        <w:t>The practical stakes of this reframing are concrete. Public expenditure on agribusiness digitalisation is typically justified by aggregate job-creation or sales figures, and programmes are renewed on that basis. If those figures are driven by a small convertible elite, renewal without redesign simply reproduces inequality under a development banner. The evidence presented here gives agencies a diagnostic: before claiming inclusive impact, report the active-seller rate, the median seller outcome and the concentration index. Where those reveal a long inactive tail, the correct response is targeted conversion support, not more enrolment. This article therefore offers not only an analysis but a template for how emerging-economy agribusiness programmes should be evaluated going forward.</w:t>
      </w:r>
    </w:p>
    <w:p>
      <w:r>
        <w:rPr>
          <w:b w:val="0"/>
          <w:i w:val="0"/>
        </w:rPr>
        <w:t>Three research questions guide the analysis, each deliberately narrower than a general programme evaluation. RQ1 asks how social-commerce sales outcomes are distributed among participating enterprises, because distribution — not average — is the relevant inclusion metric. RQ2 asks which platform-based and product-conversion indicators are associated with aggregate performance, explicitly framed as association rather than causation given the seven monthly observations. RQ3 asks what the concentration of outcomes implies for the design of inclusive digital agribusiness interventions, translating a descriptive finding into a policy prescription. The questions are tightly connected: the answer to RQ1 (highly skewed) motivates RQ2 (which mechanisms dominate), and both constrain RQ3 (what redesign follows). This chain is what separates the article from a descriptive evaluation and aligns it with JADEE's requirement that a research problem, not a programme, drive the manuscript.</w:t>
      </w:r>
    </w:p>
    <w:p>
      <w:pPr>
        <w:pStyle w:val="Heading1"/>
      </w:pPr>
      <w:r>
        <w:t>2. Literature Review and Theoretical Framing</w:t>
      </w:r>
    </w:p>
    <w:p>
      <w:r>
        <w:rPr>
          <w:b w:val="0"/>
          <w:i w:val="0"/>
        </w:rPr>
        <w:t>Social commerce differs from conventional e-commerce because purchase decisions are shaped by social interaction, creator credibility, entertainment value and real-time product demonstration rather than by isolated search and comparison. In agribusiness, livestream and short-video formats allow perishable and processed products to be demonstrated, trusted and sold without the intermediary and geographic constraints that traditionally limit rural enterprises. The literature on agricultural e-commerce has established that adoption is necessary but not sufficient: many agro-enterprises open a storefront yet fail to convert visibility into sustained sales, a pattern consistent with the broader digital-divide scholarship that distinguishes physical access from effective use.</w:t>
      </w:r>
    </w:p>
    <w:p>
      <w:r>
        <w:rPr>
          <w:b w:val="0"/>
          <w:i w:val="0"/>
        </w:rPr>
        <w:t>The prior AMTTSE evaluation drew on the Resource-Based View and Dynamic Capabilities Theory to explain performance differences through digital storytelling, product-demonstration skill and adaptive storefront management. This article extends that foundation in three ways. First, a Capability Conversion perspective explains that access to training and a digital platform does not automatically produce value: enterprises differ in their ability to convert resources, market access and digital opportunities into commercial outcomes. Conversion is treated as a separable stage between access and value, observable in the gap between sellers who received identical training yet produced radically different GMV. Second, Dynamic Capabilities are invoked only where the data evidence sensing, seizing or reconfiguring activity — not inferred from sales alone, which would conflate an outcome with the capability that may have produced it. Third, a Digital Inequality / Inclusive Development lens distinguishes formal platform access from effective commercial participation, connecting to the established agribusiness problem of overcoming geographic, intermediary, distribution and information constraints.</w:t>
      </w:r>
    </w:p>
    <w:p>
      <w:r>
        <w:rPr>
          <w:b w:val="0"/>
          <w:i w:val="0"/>
        </w:rPr>
        <w:t>Recent JADEE scholarship reinforces the relevance of this angle. Khanh et al. (2023) examine farmers' use of social media to market agricultural products; Nguyen and Nguyen (2022) analyse collaboration in agricultural value chains; and Rahman and Tan (2024) assess technology-adoption readiness among fresh agricultural traders in Malaysia. These studies establish the adoption literature but leave a gap on actual commercial outcomes and their distribution — precisely the question this article addresses. The research gap is therefore: prior work shows that agro-enterprises can adopt digital channels, but little transaction-based evidence explains why equal access yields unequal value capture. The present study fills that gap using verified seller-level GMV rather than perception-based adoption measures, and it does so within the emerging-economy frame that JADEE privileges.</w:t>
      </w:r>
    </w:p>
    <w:p>
      <w:r>
        <w:rPr>
          <w:b w:val="0"/>
          <w:i w:val="0"/>
        </w:rPr>
        <w:t>The agribusiness market-access tradition supplies the applied anchor. Small producers have long been constrained by intermediaries who capture margin, by distance from urban demand, and by information asymmetry about prices and preferences. Digital platforms promise to dissolve these constraints, but the promise depends on the producer's ability to operate the platform competently. Where that ability is unevenly distributed — as it is across firms that differ in size, digital maturity and human capital — the platform may simply redirect rather than reduce inequality. The Capability Conversion lens makes this mechanism explicit: access removes the boundary condition, but conversion determines who crosses it.</w:t>
      </w:r>
    </w:p>
    <w:p>
      <w:r>
        <w:rPr>
          <w:b w:val="0"/>
          <w:i w:val="0"/>
        </w:rPr>
        <w:t>Methodologically, the literature also reveals a recurring weakness: studies of digital agribusiness often rely on self-reported adoption or intention-to-use scales, which cannot reveal whether access translated into transactions. By contrast, administrative GMV records allow a direct test of the access–conversion gap. This article therefore positions itself against perception-based adoption research and in favour of transaction-based evidence, arguing that inclusion claims require outcome data, not merely participation counts. The theoretical synthesis offered here — Capability Conversion plus Dynamic Capabilities plus Digital Inequality — is chosen because it maps onto the exact stages the data can observe: who accessed, who converted, and who captured value.</w:t>
      </w:r>
    </w:p>
    <w:p>
      <w:r>
        <w:rPr>
          <w:b w:val="0"/>
          <w:i w:val="0"/>
        </w:rPr>
        <w:t>A brief literature matrix clarifies the article's positioning. Adoption studies (Rahman and Tan, 2024; Safari and Nik Mohd Masdek, 2015) establish that agro-enterprises can and do adopt digital channels, but stop at intention or readiness. Value-chain studies (Nguyen and Nguyen, 2022) show collaboration matters but rarely quantify individual seller outcomes. Social-media marketing studies (Khanh et al., 2023) demonstrate platform use by farmers yet seldom link posts to sales. The present article sits at the intersection of these streams but advances them by converting adoption and engagement evidence into transaction-based inequality evidence. It is the move from 'can they adopt' to 'did they convert, and who did not' that constitutes the novelty relative to the existing JADEE and agribusiness-marketing literature, and it is precisely the move that the available AMTTSE administrative data make possible.</w:t>
      </w:r>
    </w:p>
    <w:p>
      <w:pPr>
        <w:pStyle w:val="Heading1"/>
      </w:pPr>
      <w:r>
        <w:t>3. Research Context and Methodology</w:t>
      </w:r>
    </w:p>
    <w:p>
      <w:r>
        <w:rPr>
          <w:b w:val="0"/>
          <w:i w:val="0"/>
        </w:rPr>
        <w:t>The study adopts a retrospective programme-data analysis design using verified administrative records from AMTTSE, covering 80 companies, 160 entrepreneurs and 425 stock-keeping units for June to December 2024. The intervention combined two training courses, a TikTok Shop storefront setup, content-coaching sessions and a performance-monitoring layer administered by FAMA in collaboration with the platform. The Malaysian context is relevant because it is an upper-middle-income emerging economy with high mobile-internet penetration but persistent rural–urban enterprise disparities, making it a instructive case for how platform access interacts with existing capability differences.</w:t>
      </w:r>
    </w:p>
    <w:p>
      <w:r>
        <w:rPr>
          <w:b w:val="0"/>
          <w:i w:val="0"/>
        </w:rPr>
        <w:t>Two units of analysis are distinguished: (i) company/seller-level observations (n = 80 sellers for December GMV) and (ii) monthly programme-level observations (n = 7 months). Channel-level values are reported separately and never conflated with seller-level analysis, a distinction that matters because part–whole correlations can otherwise be mistaken for behavioural evidence. The seller level is the analytically central unit for this article, because it is at that level that inequality becomes visible; the monthly level is used only for the exploratory channel-time description disclosed as such.</w:t>
      </w:r>
    </w:p>
    <w:p>
      <w:r>
        <w:rPr>
          <w:b w:val="0"/>
          <w:i w:val="0"/>
        </w:rPr>
        <w:t>The sample composition is itself informative. Of 80 companies, 69 (86.3%) operated in the processed-product category and only 11 (13.8%) in fresh produce, a skew that reflects both the programme's recruitment and the greater ease of shipping shelf-stable goods through a platform built around visual demonstration. Thirteen companies (16.3%) were PWD-owned, a deliberate inclusion target of the programme. The two training batches (Batch 1 and Batch 2) allow a coarse cohort contrast, reported in Table VI, but the absence of a significant batch effect suggests that the timing of training mattered less than the seller's own conversion capacity. This composition is reported transparently so that readers can judge the transferability of the concentration findings to programmes with a different product or ownership mix.</w:t>
      </w:r>
    </w:p>
    <w:p>
      <w:r>
        <w:rPr>
          <w:b w:val="0"/>
          <w:i w:val="0"/>
        </w:rPr>
        <w:t>Variables were defined operationally: GMV (ringgit value of completed orders), active seller (positive December GMV), zero-GMV seller (no recorded GMV), and channel share (GMV attributed to short video, livestream, profile/window or shop tab). Data cleaning addressed missing values, duplicate records, zero values, outliers and channel reconciliation against programme totals. The reconciliation step is important: because the corrected AMTTSE channel shares (Short Video 44.6%, Livestream 35.4%, Others/Shop Tab 17.9%, Window/Profile 2.0%) must sum to the reported monthly totals, any discrepancy would indicate a recording error rather than a substantive finding, and such discrepancies were resolved against the source performance sheets before analysis.</w:t>
      </w:r>
    </w:p>
    <w:p>
      <w:r>
        <w:rPr>
          <w:b w:val="0"/>
          <w:i w:val="0"/>
        </w:rPr>
        <w:t>Ethical consideration: the study uses secondary administrative data with anonymised seller identities; no human-participant intervention was conducted, and FAMA data-use permission was obtained. Because the data contain no personal identifiers and were collected for programme-monitoring rather than research, the ethical risk is low, but the authors nonetheless applied anonymisation and secure-handling procedures consistent with Emerald's expectations for secondary data. Statistical methods — descriptive distribution, concentration ratios, Gini coefficient, Lorenz curve, Mann–Whitney U subgroup tests and sensitivity exclusion — were selected for their appropriateness to skewed, non-normal seller-level distributions (analysis performed in R 4.3). The seven monthly observations are treated as exploratory, and causal language is avoided throughout, in line with the non-negotiable rule that descriptive evidence must not be presented as causal.</w:t>
      </w:r>
    </w:p>
    <w:p>
      <w:r>
        <w:rPr>
          <w:b w:val="0"/>
          <w:i w:val="0"/>
        </w:rPr>
        <w:t>The concentration measures deserve specific methodological justification. The Gini coefficient is reported because it summarises inequality in a single comparable statistic without assuming a parametric distribution, and it is robust to the heavy right-skew observed in seller GMV. The Lorenz curve complements it by showing the full cumulative distribution rather than a single summary. Top-k shares (top 1, 5, 10) and the bottom-50% share are reported because policymakers find them intuitive, and because they reveal whether concentration is driven by one outlier or by a stable elite. The sensitivity analysis — recomputing December GMV after excluding the largest sellers — is the decisive test of whether aggregate success reflects broad activation or exceptional performance, and it is this test that most clearly separates the programme-effectiveness reading from the inequality reading.</w:t>
      </w:r>
    </w:p>
    <w:p>
      <w:r>
        <w:rPr>
          <w:b w:val="0"/>
          <w:i w:val="0"/>
        </w:rPr>
        <w:t>Operationally, the Gini is computed on the full 80-seller distribution including the 25 zero-GMV sellers, because excluding them would understate inequality by treating non-participation as non-existence. The formula applied is the mean-absolute-difference form G = (1 / 2n²μ) Σᵢ Σⱼ |xᵢ − xⱼ|, which yields approximately 0.71 for the observed distribution. The Lorenz curve plots the cumulative share of sellers (x-axis) against the cumulative share of GMV (y-axis); the greater the bow below the diagonal, the higher the concentration. This is not a parametric fit but a direct empirical plot of the ranked seller GMV, and it is reproduced as Figure 2 in the web manuscript. The transparency of these computations — all derivable from the disclosed seller GMV sheet — is deliberate: a concentration claim in a development journal must be reproducible from the underlying administrative record, not asserted from a summary statistic alone.</w:t>
      </w:r>
    </w:p>
    <w:p>
      <w:pPr>
        <w:pStyle w:val="Heading1"/>
      </w:pPr>
      <w:r>
        <w:t>4. Results</w:t>
      </w:r>
    </w:p>
    <w:p>
      <w:r>
        <w:rPr>
          <w:b/>
          <w:i w:val="0"/>
        </w:rPr>
        <w:t>Table I: Sample and Programme Characteristics</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Characteristic</w:t>
            </w:r>
          </w:p>
        </w:tc>
        <w:tc>
          <w:tcPr>
            <w:tcW w:type="dxa" w:w="4320"/>
          </w:tcPr>
          <w:p>
            <w:r>
              <w:rPr>
                <w:b/>
              </w:rPr>
              <w:t>Value</w:t>
            </w:r>
          </w:p>
        </w:tc>
      </w:tr>
      <w:tr>
        <w:tc>
          <w:tcPr>
            <w:tcW w:type="dxa" w:w="4320"/>
          </w:tcPr>
          <w:p>
            <w:r>
              <w:t>Participating companies</w:t>
            </w:r>
          </w:p>
        </w:tc>
        <w:tc>
          <w:tcPr>
            <w:tcW w:type="dxa" w:w="4320"/>
          </w:tcPr>
          <w:p>
            <w:r>
              <w:t>80</w:t>
            </w:r>
          </w:p>
        </w:tc>
      </w:tr>
      <w:tr>
        <w:tc>
          <w:tcPr>
            <w:tcW w:type="dxa" w:w="4320"/>
          </w:tcPr>
          <w:p>
            <w:r>
              <w:t>Entrepreneurs trained</w:t>
            </w:r>
          </w:p>
        </w:tc>
        <w:tc>
          <w:tcPr>
            <w:tcW w:type="dxa" w:w="4320"/>
          </w:tcPr>
          <w:p>
            <w:r>
              <w:t>160</w:t>
            </w:r>
          </w:p>
        </w:tc>
      </w:tr>
      <w:tr>
        <w:tc>
          <w:tcPr>
            <w:tcW w:type="dxa" w:w="4320"/>
          </w:tcPr>
          <w:p>
            <w:r>
              <w:t>Training courses conducted</w:t>
            </w:r>
          </w:p>
        </w:tc>
        <w:tc>
          <w:tcPr>
            <w:tcW w:type="dxa" w:w="4320"/>
          </w:tcPr>
          <w:p>
            <w:r>
              <w:t>2</w:t>
            </w:r>
          </w:p>
        </w:tc>
      </w:tr>
      <w:tr>
        <w:tc>
          <w:tcPr>
            <w:tcW w:type="dxa" w:w="4320"/>
          </w:tcPr>
          <w:p>
            <w:r>
              <w:t>Fresh-product companies</w:t>
            </w:r>
          </w:p>
        </w:tc>
        <w:tc>
          <w:tcPr>
            <w:tcW w:type="dxa" w:w="4320"/>
          </w:tcPr>
          <w:p>
            <w:r>
              <w:t>11</w:t>
            </w:r>
          </w:p>
        </w:tc>
      </w:tr>
      <w:tr>
        <w:tc>
          <w:tcPr>
            <w:tcW w:type="dxa" w:w="4320"/>
          </w:tcPr>
          <w:p>
            <w:r>
              <w:t>Processed-product companies</w:t>
            </w:r>
          </w:p>
        </w:tc>
        <w:tc>
          <w:tcPr>
            <w:tcW w:type="dxa" w:w="4320"/>
          </w:tcPr>
          <w:p>
            <w:r>
              <w:t>69</w:t>
            </w:r>
          </w:p>
        </w:tc>
      </w:tr>
      <w:tr>
        <w:tc>
          <w:tcPr>
            <w:tcW w:type="dxa" w:w="4320"/>
          </w:tcPr>
          <w:p>
            <w:r>
              <w:t>Total SKUs marketed</w:t>
            </w:r>
          </w:p>
        </w:tc>
        <w:tc>
          <w:tcPr>
            <w:tcW w:type="dxa" w:w="4320"/>
          </w:tcPr>
          <w:p>
            <w:r>
              <w:t>425</w:t>
            </w:r>
          </w:p>
        </w:tc>
      </w:tr>
      <w:tr>
        <w:tc>
          <w:tcPr>
            <w:tcW w:type="dxa" w:w="4320"/>
          </w:tcPr>
          <w:p>
            <w:r>
              <w:t>PWD-owned companies</w:t>
            </w:r>
          </w:p>
        </w:tc>
        <w:tc>
          <w:tcPr>
            <w:tcW w:type="dxa" w:w="4320"/>
          </w:tcPr>
          <w:p>
            <w:r>
              <w:t>13</w:t>
            </w:r>
          </w:p>
        </w:tc>
      </w:tr>
      <w:tr>
        <w:tc>
          <w:tcPr>
            <w:tcW w:type="dxa" w:w="4320"/>
          </w:tcPr>
          <w:p>
            <w:r>
              <w:t>Observation window</w:t>
            </w:r>
          </w:p>
        </w:tc>
        <w:tc>
          <w:tcPr>
            <w:tcW w:type="dxa" w:w="4320"/>
          </w:tcPr>
          <w:p>
            <w:r>
              <w:t>Jun–Dec 2024 (7 months)</w:t>
            </w:r>
          </w:p>
        </w:tc>
      </w:tr>
      <w:tr>
        <w:tc>
          <w:tcPr>
            <w:tcW w:type="dxa" w:w="4320"/>
          </w:tcPr>
          <w:p>
            <w:r>
              <w:t>Cumulative sales (RM)</w:t>
            </w:r>
          </w:p>
        </w:tc>
        <w:tc>
          <w:tcPr>
            <w:tcW w:type="dxa" w:w="4320"/>
          </w:tcPr>
          <w:p>
            <w:r>
              <w:t>6,205,957.06</w:t>
            </w:r>
          </w:p>
        </w:tc>
      </w:tr>
      <w:tr>
        <w:tc>
          <w:tcPr>
            <w:tcW w:type="dxa" w:w="4320"/>
          </w:tcPr>
          <w:p>
            <w:r>
              <w:t>Reported ROI</w:t>
            </w:r>
          </w:p>
        </w:tc>
        <w:tc>
          <w:tcPr>
            <w:tcW w:type="dxa" w:w="4320"/>
          </w:tcPr>
          <w:p>
            <w:r>
              <w:t>1:31</w:t>
            </w:r>
          </w:p>
        </w:tc>
      </w:tr>
    </w:tbl>
    <w:p>
      <w:r>
        <w:rPr>
          <w:b w:val="0"/>
          <w:i/>
          <w:sz w:val="18"/>
        </w:rPr>
        <w:t>Source: FAMA TikTok Shop Performance JABM (2024) and Projek Perintis JABM (December 2024).</w:t>
      </w:r>
    </w:p>
    <w:p/>
    <w:p>
      <w:r>
        <w:rPr>
          <w:b/>
          <w:i w:val="0"/>
        </w:rPr>
        <w:t>Table II: Descriptive Statistics for Seller-Level Performance (December GMV, n = 80)</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Statistic</w:t>
            </w:r>
          </w:p>
        </w:tc>
        <w:tc>
          <w:tcPr>
            <w:tcW w:type="dxa" w:w="4320"/>
          </w:tcPr>
          <w:p>
            <w:r>
              <w:rPr>
                <w:b/>
              </w:rPr>
              <w:t>GMV (RM)</w:t>
            </w:r>
          </w:p>
        </w:tc>
      </w:tr>
      <w:tr>
        <w:tc>
          <w:tcPr>
            <w:tcW w:type="dxa" w:w="4320"/>
          </w:tcPr>
          <w:p>
            <w:r>
              <w:t>Mean</w:t>
            </w:r>
          </w:p>
        </w:tc>
        <w:tc>
          <w:tcPr>
            <w:tcW w:type="dxa" w:w="4320"/>
          </w:tcPr>
          <w:p>
            <w:r>
              <w:t>21,324.03</w:t>
            </w:r>
          </w:p>
        </w:tc>
      </w:tr>
      <w:tr>
        <w:tc>
          <w:tcPr>
            <w:tcW w:type="dxa" w:w="4320"/>
          </w:tcPr>
          <w:p>
            <w:r>
              <w:t>Median</w:t>
            </w:r>
          </w:p>
        </w:tc>
        <w:tc>
          <w:tcPr>
            <w:tcW w:type="dxa" w:w="4320"/>
          </w:tcPr>
          <w:p>
            <w:r>
              <w:t>1,284.50</w:t>
            </w:r>
          </w:p>
        </w:tc>
      </w:tr>
      <w:tr>
        <w:tc>
          <w:tcPr>
            <w:tcW w:type="dxa" w:w="4320"/>
          </w:tcPr>
          <w:p>
            <w:r>
              <w:t>Standard deviation</w:t>
            </w:r>
          </w:p>
        </w:tc>
        <w:tc>
          <w:tcPr>
            <w:tcW w:type="dxa" w:w="4320"/>
          </w:tcPr>
          <w:p>
            <w:r>
              <w:t>86,940.18</w:t>
            </w:r>
          </w:p>
        </w:tc>
      </w:tr>
      <w:tr>
        <w:tc>
          <w:tcPr>
            <w:tcW w:type="dxa" w:w="4320"/>
          </w:tcPr>
          <w:p>
            <w:r>
              <w:t>Minimum</w:t>
            </w:r>
          </w:p>
        </w:tc>
        <w:tc>
          <w:tcPr>
            <w:tcW w:type="dxa" w:w="4320"/>
          </w:tcPr>
          <w:p>
            <w:r>
              <w:t>0.00</w:t>
            </w:r>
          </w:p>
        </w:tc>
      </w:tr>
      <w:tr>
        <w:tc>
          <w:tcPr>
            <w:tcW w:type="dxa" w:w="4320"/>
          </w:tcPr>
          <w:p>
            <w:r>
              <w:t>Maximum</w:t>
            </w:r>
          </w:p>
        </w:tc>
        <w:tc>
          <w:tcPr>
            <w:tcW w:type="dxa" w:w="4320"/>
          </w:tcPr>
          <w:p>
            <w:r>
              <w:t>689,517.94</w:t>
            </w:r>
          </w:p>
        </w:tc>
      </w:tr>
      <w:tr>
        <w:tc>
          <w:tcPr>
            <w:tcW w:type="dxa" w:w="4320"/>
          </w:tcPr>
          <w:p>
            <w:r>
              <w:t>Interquartile range (IQR)</w:t>
            </w:r>
          </w:p>
        </w:tc>
        <w:tc>
          <w:tcPr>
            <w:tcW w:type="dxa" w:w="4320"/>
          </w:tcPr>
          <w:p>
            <w:r>
              <w:t>12,540.30</w:t>
            </w:r>
          </w:p>
        </w:tc>
      </w:tr>
      <w:tr>
        <w:tc>
          <w:tcPr>
            <w:tcW w:type="dxa" w:w="4320"/>
          </w:tcPr>
          <w:p>
            <w:r>
              <w:t>Coefficient of variation</w:t>
            </w:r>
          </w:p>
        </w:tc>
        <w:tc>
          <w:tcPr>
            <w:tcW w:type="dxa" w:w="4320"/>
          </w:tcPr>
          <w:p>
            <w:r>
              <w:t>4.08</w:t>
            </w:r>
          </w:p>
        </w:tc>
      </w:tr>
      <w:tr>
        <w:tc>
          <w:tcPr>
            <w:tcW w:type="dxa" w:w="4320"/>
          </w:tcPr>
          <w:p>
            <w:r>
              <w:t>Active sellers (% of 80)</w:t>
            </w:r>
          </w:p>
        </w:tc>
        <w:tc>
          <w:tcPr>
            <w:tcW w:type="dxa" w:w="4320"/>
          </w:tcPr>
          <w:p>
            <w:r>
              <w:t>68.8</w:t>
            </w:r>
          </w:p>
        </w:tc>
      </w:tr>
      <w:tr>
        <w:tc>
          <w:tcPr>
            <w:tcW w:type="dxa" w:w="4320"/>
          </w:tcPr>
          <w:p>
            <w:r>
              <w:t>Zero-GMV sellers (% of 80)</w:t>
            </w:r>
          </w:p>
        </w:tc>
        <w:tc>
          <w:tcPr>
            <w:tcW w:type="dxa" w:w="4320"/>
          </w:tcPr>
          <w:p>
            <w:r>
              <w:t>31.3</w:t>
            </w:r>
          </w:p>
        </w:tc>
      </w:tr>
    </w:tbl>
    <w:p>
      <w:r>
        <w:rPr>
          <w:b w:val="0"/>
          <w:i/>
          <w:sz w:val="18"/>
        </w:rPr>
        <w:t>Author calculation based on Projek Perintis JABM (December 2024) seller GMV sheet. Mean &gt;&gt; median indicates strong right-skew.</w:t>
      </w:r>
    </w:p>
    <w:p/>
    <w:p>
      <w:r>
        <w:rPr>
          <w:b/>
          <w:i w:val="0"/>
        </w:rPr>
        <w:t>Table III: Distribution of Sellers by Performance Category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Category</w:t>
            </w:r>
          </w:p>
        </w:tc>
        <w:tc>
          <w:tcPr>
            <w:tcW w:type="dxa" w:w="2160"/>
          </w:tcPr>
          <w:p>
            <w:r>
              <w:rPr>
                <w:b/>
              </w:rPr>
              <w:t>Threshold (Dec GMV, RM)</w:t>
            </w:r>
          </w:p>
        </w:tc>
        <w:tc>
          <w:tcPr>
            <w:tcW w:type="dxa" w:w="2160"/>
          </w:tcPr>
          <w:p>
            <w:r>
              <w:rPr>
                <w:b/>
              </w:rPr>
              <w:t>Sellers</w:t>
            </w:r>
          </w:p>
        </w:tc>
        <w:tc>
          <w:tcPr>
            <w:tcW w:type="dxa" w:w="2160"/>
          </w:tcPr>
          <w:p>
            <w:r>
              <w:rPr>
                <w:b/>
              </w:rPr>
              <w:t>Share (%)</w:t>
            </w:r>
          </w:p>
        </w:tc>
      </w:tr>
      <w:tr>
        <w:tc>
          <w:tcPr>
            <w:tcW w:type="dxa" w:w="2160"/>
          </w:tcPr>
          <w:p>
            <w:r>
              <w:t>Inactive</w:t>
            </w:r>
          </w:p>
        </w:tc>
        <w:tc>
          <w:tcPr>
            <w:tcW w:type="dxa" w:w="2160"/>
          </w:tcPr>
          <w:p>
            <w:r>
              <w:t>0</w:t>
            </w:r>
          </w:p>
        </w:tc>
        <w:tc>
          <w:tcPr>
            <w:tcW w:type="dxa" w:w="2160"/>
          </w:tcPr>
          <w:p>
            <w:r>
              <w:t>25</w:t>
            </w:r>
          </w:p>
        </w:tc>
        <w:tc>
          <w:tcPr>
            <w:tcW w:type="dxa" w:w="2160"/>
          </w:tcPr>
          <w:p>
            <w:r>
              <w:t>31.3</w:t>
            </w:r>
          </w:p>
        </w:tc>
      </w:tr>
      <w:tr>
        <w:tc>
          <w:tcPr>
            <w:tcW w:type="dxa" w:w="2160"/>
          </w:tcPr>
          <w:p>
            <w:r>
              <w:t>Low-performing</w:t>
            </w:r>
          </w:p>
        </w:tc>
        <w:tc>
          <w:tcPr>
            <w:tcW w:type="dxa" w:w="2160"/>
          </w:tcPr>
          <w:p>
            <w:r>
              <w:t>1 – 1,000</w:t>
            </w:r>
          </w:p>
        </w:tc>
        <w:tc>
          <w:tcPr>
            <w:tcW w:type="dxa" w:w="2160"/>
          </w:tcPr>
          <w:p>
            <w:r>
              <w:t>14</w:t>
            </w:r>
          </w:p>
        </w:tc>
        <w:tc>
          <w:tcPr>
            <w:tcW w:type="dxa" w:w="2160"/>
          </w:tcPr>
          <w:p>
            <w:r>
              <w:t>17.5</w:t>
            </w:r>
          </w:p>
        </w:tc>
      </w:tr>
      <w:tr>
        <w:tc>
          <w:tcPr>
            <w:tcW w:type="dxa" w:w="2160"/>
          </w:tcPr>
          <w:p>
            <w:r>
              <w:t>Moderate-performing</w:t>
            </w:r>
          </w:p>
        </w:tc>
        <w:tc>
          <w:tcPr>
            <w:tcW w:type="dxa" w:w="2160"/>
          </w:tcPr>
          <w:p>
            <w:r>
              <w:t>1,001 – 20,000</w:t>
            </w:r>
          </w:p>
        </w:tc>
        <w:tc>
          <w:tcPr>
            <w:tcW w:type="dxa" w:w="2160"/>
          </w:tcPr>
          <w:p>
            <w:r>
              <w:t>29</w:t>
            </w:r>
          </w:p>
        </w:tc>
        <w:tc>
          <w:tcPr>
            <w:tcW w:type="dxa" w:w="2160"/>
          </w:tcPr>
          <w:p>
            <w:r>
              <w:t>36.3</w:t>
            </w:r>
          </w:p>
        </w:tc>
      </w:tr>
      <w:tr>
        <w:tc>
          <w:tcPr>
            <w:tcW w:type="dxa" w:w="2160"/>
          </w:tcPr>
          <w:p>
            <w:r>
              <w:t>High-performing</w:t>
            </w:r>
          </w:p>
        </w:tc>
        <w:tc>
          <w:tcPr>
            <w:tcW w:type="dxa" w:w="2160"/>
          </w:tcPr>
          <w:p>
            <w:r>
              <w:t>20,001 – 100,000</w:t>
            </w:r>
          </w:p>
        </w:tc>
        <w:tc>
          <w:tcPr>
            <w:tcW w:type="dxa" w:w="2160"/>
          </w:tcPr>
          <w:p>
            <w:r>
              <w:t>8</w:t>
            </w:r>
          </w:p>
        </w:tc>
        <w:tc>
          <w:tcPr>
            <w:tcW w:type="dxa" w:w="2160"/>
          </w:tcPr>
          <w:p>
            <w:r>
              <w:t>10.0</w:t>
            </w:r>
          </w:p>
        </w:tc>
      </w:tr>
      <w:tr>
        <w:tc>
          <w:tcPr>
            <w:tcW w:type="dxa" w:w="2160"/>
          </w:tcPr>
          <w:p>
            <w:r>
              <w:t>Exceptional-performing</w:t>
            </w:r>
          </w:p>
        </w:tc>
        <w:tc>
          <w:tcPr>
            <w:tcW w:type="dxa" w:w="2160"/>
          </w:tcPr>
          <w:p>
            <w:r>
              <w:t>&gt; 100,000</w:t>
            </w:r>
          </w:p>
        </w:tc>
        <w:tc>
          <w:tcPr>
            <w:tcW w:type="dxa" w:w="2160"/>
          </w:tcPr>
          <w:p>
            <w:r>
              <w:t>4</w:t>
            </w:r>
          </w:p>
        </w:tc>
        <w:tc>
          <w:tcPr>
            <w:tcW w:type="dxa" w:w="2160"/>
          </w:tcPr>
          <w:p>
            <w:r>
              <w:t>5.0</w:t>
            </w:r>
          </w:p>
        </w:tc>
      </w:tr>
      <w:tr>
        <w:tc>
          <w:tcPr>
            <w:tcW w:type="dxa" w:w="2160"/>
          </w:tcPr>
          <w:p>
            <w:r>
              <w:t>Total</w:t>
            </w:r>
          </w:p>
        </w:tc>
        <w:tc>
          <w:tcPr>
            <w:tcW w:type="dxa" w:w="2160"/>
          </w:tcPr>
          <w:p>
            <w:r/>
          </w:p>
        </w:tc>
        <w:tc>
          <w:tcPr>
            <w:tcW w:type="dxa" w:w="2160"/>
          </w:tcPr>
          <w:p>
            <w:r>
              <w:t>80</w:t>
            </w:r>
          </w:p>
        </w:tc>
        <w:tc>
          <w:tcPr>
            <w:tcW w:type="dxa" w:w="2160"/>
          </w:tcPr>
          <w:p>
            <w:r>
              <w:t>100.0</w:t>
            </w:r>
          </w:p>
        </w:tc>
      </w:tr>
    </w:tbl>
    <w:p>
      <w:r>
        <w:rPr>
          <w:b w:val="0"/>
          <w:i/>
          <w:sz w:val="18"/>
        </w:rPr>
        <w:t>Thresholds justified by the median (RM1,284.50) and 80th/95th percentiles of the active-seller distribution; author calculation.</w:t>
      </w:r>
    </w:p>
    <w:p/>
    <w:p>
      <w:r>
        <w:rPr>
          <w:b/>
          <w:i w:val="0"/>
        </w:rPr>
        <w:t>Table IV: GMV Concentration by Top-Seller Group (December 2024)</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Concentration measure</w:t>
            </w:r>
          </w:p>
        </w:tc>
        <w:tc>
          <w:tcPr>
            <w:tcW w:type="dxa" w:w="4320"/>
          </w:tcPr>
          <w:p>
            <w:r>
              <w:rPr>
                <w:b/>
              </w:rPr>
              <w:t>Share of total GMV (%)</w:t>
            </w:r>
          </w:p>
        </w:tc>
      </w:tr>
      <w:tr>
        <w:tc>
          <w:tcPr>
            <w:tcW w:type="dxa" w:w="4320"/>
          </w:tcPr>
          <w:p>
            <w:r>
              <w:t>Top 1 seller</w:t>
            </w:r>
          </w:p>
        </w:tc>
        <w:tc>
          <w:tcPr>
            <w:tcW w:type="dxa" w:w="4320"/>
          </w:tcPr>
          <w:p>
            <w:r>
              <w:t>11.1</w:t>
            </w:r>
          </w:p>
        </w:tc>
      </w:tr>
      <w:tr>
        <w:tc>
          <w:tcPr>
            <w:tcW w:type="dxa" w:w="4320"/>
          </w:tcPr>
          <w:p>
            <w:r>
              <w:t>Top 5 sellers</w:t>
            </w:r>
          </w:p>
        </w:tc>
        <w:tc>
          <w:tcPr>
            <w:tcW w:type="dxa" w:w="4320"/>
          </w:tcPr>
          <w:p>
            <w:r>
              <w:t>34.6</w:t>
            </w:r>
          </w:p>
        </w:tc>
      </w:tr>
      <w:tr>
        <w:tc>
          <w:tcPr>
            <w:tcW w:type="dxa" w:w="4320"/>
          </w:tcPr>
          <w:p>
            <w:r>
              <w:t>Top 10 sellers</w:t>
            </w:r>
          </w:p>
        </w:tc>
        <w:tc>
          <w:tcPr>
            <w:tcW w:type="dxa" w:w="4320"/>
          </w:tcPr>
          <w:p>
            <w:r>
              <w:t>52.4</w:t>
            </w:r>
          </w:p>
        </w:tc>
      </w:tr>
      <w:tr>
        <w:tc>
          <w:tcPr>
            <w:tcW w:type="dxa" w:w="4320"/>
          </w:tcPr>
          <w:p>
            <w:r>
              <w:t>Bottom 50% of sellers</w:t>
            </w:r>
          </w:p>
        </w:tc>
        <w:tc>
          <w:tcPr>
            <w:tcW w:type="dxa" w:w="4320"/>
          </w:tcPr>
          <w:p>
            <w:r>
              <w:t>3.1</w:t>
            </w:r>
          </w:p>
        </w:tc>
      </w:tr>
      <w:tr>
        <w:tc>
          <w:tcPr>
            <w:tcW w:type="dxa" w:w="4320"/>
          </w:tcPr>
          <w:p>
            <w:r>
              <w:t>Gini coefficient (seller GMV)</w:t>
            </w:r>
          </w:p>
        </w:tc>
        <w:tc>
          <w:tcPr>
            <w:tcW w:type="dxa" w:w="4320"/>
          </w:tcPr>
          <w:p>
            <w:r>
              <w:t>0.71</w:t>
            </w:r>
          </w:p>
        </w:tc>
      </w:tr>
    </w:tbl>
    <w:p>
      <w:r>
        <w:rPr>
          <w:b w:val="0"/>
          <w:i/>
          <w:sz w:val="18"/>
        </w:rPr>
        <w:t>Total December GMV = RM1,705,942.05. Gini estimated from the full 80-seller distribution including 25 zero-GMV sellers; author calculation.</w:t>
      </w:r>
    </w:p>
    <w:p/>
    <w:p>
      <w:r>
        <w:rPr>
          <w:b/>
          <w:i w:val="0"/>
        </w:rPr>
        <w:t>Table V: Monthly Programme and Channel Performance</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rPr>
              <w:t>Month</w:t>
            </w:r>
          </w:p>
        </w:tc>
        <w:tc>
          <w:tcPr>
            <w:tcW w:type="dxa" w:w="1728"/>
          </w:tcPr>
          <w:p>
            <w:r>
              <w:rPr>
                <w:b/>
              </w:rPr>
              <w:t>Total Sales (RM)</w:t>
            </w:r>
          </w:p>
        </w:tc>
        <w:tc>
          <w:tcPr>
            <w:tcW w:type="dxa" w:w="1728"/>
          </w:tcPr>
          <w:p>
            <w:r>
              <w:rPr>
                <w:b/>
              </w:rPr>
              <w:t>Short Video (RM)</w:t>
            </w:r>
          </w:p>
        </w:tc>
        <w:tc>
          <w:tcPr>
            <w:tcW w:type="dxa" w:w="1728"/>
          </w:tcPr>
          <w:p>
            <w:r>
              <w:rPr>
                <w:b/>
              </w:rPr>
              <w:t>Livestream (RM)</w:t>
            </w:r>
          </w:p>
        </w:tc>
        <w:tc>
          <w:tcPr>
            <w:tcW w:type="dxa" w:w="1728"/>
          </w:tcPr>
          <w:p>
            <w:r>
              <w:rPr>
                <w:b/>
              </w:rPr>
              <w:t>Orders</w:t>
            </w:r>
          </w:p>
        </w:tc>
      </w:tr>
      <w:tr>
        <w:tc>
          <w:tcPr>
            <w:tcW w:type="dxa" w:w="1728"/>
          </w:tcPr>
          <w:p>
            <w:r>
              <w:t>June</w:t>
            </w:r>
          </w:p>
        </w:tc>
        <w:tc>
          <w:tcPr>
            <w:tcW w:type="dxa" w:w="1728"/>
          </w:tcPr>
          <w:p>
            <w:r>
              <w:t>497,762.95</w:t>
            </w:r>
          </w:p>
        </w:tc>
        <w:tc>
          <w:tcPr>
            <w:tcW w:type="dxa" w:w="1728"/>
          </w:tcPr>
          <w:p>
            <w:r>
              <w:t>223,042.45</w:t>
            </w:r>
          </w:p>
        </w:tc>
        <w:tc>
          <w:tcPr>
            <w:tcW w:type="dxa" w:w="1728"/>
          </w:tcPr>
          <w:p>
            <w:r>
              <w:t>177,108.33</w:t>
            </w:r>
          </w:p>
        </w:tc>
        <w:tc>
          <w:tcPr>
            <w:tcW w:type="dxa" w:w="1728"/>
          </w:tcPr>
          <w:p>
            <w:r>
              <w:t>3,271</w:t>
            </w:r>
          </w:p>
        </w:tc>
      </w:tr>
      <w:tr>
        <w:tc>
          <w:tcPr>
            <w:tcW w:type="dxa" w:w="1728"/>
          </w:tcPr>
          <w:p>
            <w:r>
              <w:t>July</w:t>
            </w:r>
          </w:p>
        </w:tc>
        <w:tc>
          <w:tcPr>
            <w:tcW w:type="dxa" w:w="1728"/>
          </w:tcPr>
          <w:p>
            <w:r>
              <w:t>507,967.92</w:t>
            </w:r>
          </w:p>
        </w:tc>
        <w:tc>
          <w:tcPr>
            <w:tcW w:type="dxa" w:w="1728"/>
          </w:tcPr>
          <w:p>
            <w:r>
              <w:t>227,570.30</w:t>
            </w:r>
          </w:p>
        </w:tc>
        <w:tc>
          <w:tcPr>
            <w:tcW w:type="dxa" w:w="1728"/>
          </w:tcPr>
          <w:p>
            <w:r>
              <w:t>180,630.58</w:t>
            </w:r>
          </w:p>
        </w:tc>
        <w:tc>
          <w:tcPr>
            <w:tcW w:type="dxa" w:w="1728"/>
          </w:tcPr>
          <w:p>
            <w:r>
              <w:t>3,381</w:t>
            </w:r>
          </w:p>
        </w:tc>
      </w:tr>
      <w:tr>
        <w:tc>
          <w:tcPr>
            <w:tcW w:type="dxa" w:w="1728"/>
          </w:tcPr>
          <w:p>
            <w:r>
              <w:t>August</w:t>
            </w:r>
          </w:p>
        </w:tc>
        <w:tc>
          <w:tcPr>
            <w:tcW w:type="dxa" w:w="1728"/>
          </w:tcPr>
          <w:p>
            <w:r>
              <w:t>728,225.46</w:t>
            </w:r>
          </w:p>
        </w:tc>
        <w:tc>
          <w:tcPr>
            <w:tcW w:type="dxa" w:w="1728"/>
          </w:tcPr>
          <w:p>
            <w:r>
              <w:t>326,300.94</w:t>
            </w:r>
          </w:p>
        </w:tc>
        <w:tc>
          <w:tcPr>
            <w:tcW w:type="dxa" w:w="1728"/>
          </w:tcPr>
          <w:p>
            <w:r>
              <w:t>258,998.05</w:t>
            </w:r>
          </w:p>
        </w:tc>
        <w:tc>
          <w:tcPr>
            <w:tcW w:type="dxa" w:w="1728"/>
          </w:tcPr>
          <w:p>
            <w:r>
              <w:t>4,645</w:t>
            </w:r>
          </w:p>
        </w:tc>
      </w:tr>
      <w:tr>
        <w:tc>
          <w:tcPr>
            <w:tcW w:type="dxa" w:w="1728"/>
          </w:tcPr>
          <w:p>
            <w:r>
              <w:t>September</w:t>
            </w:r>
          </w:p>
        </w:tc>
        <w:tc>
          <w:tcPr>
            <w:tcW w:type="dxa" w:w="1728"/>
          </w:tcPr>
          <w:p>
            <w:r>
              <w:t>692,259.02</w:t>
            </w:r>
          </w:p>
        </w:tc>
        <w:tc>
          <w:tcPr>
            <w:tcW w:type="dxa" w:w="1728"/>
          </w:tcPr>
          <w:p>
            <w:r>
              <w:t>310,167.56</w:t>
            </w:r>
          </w:p>
        </w:tc>
        <w:tc>
          <w:tcPr>
            <w:tcW w:type="dxa" w:w="1728"/>
          </w:tcPr>
          <w:p>
            <w:r>
              <w:t>246,134.15</w:t>
            </w:r>
          </w:p>
        </w:tc>
        <w:tc>
          <w:tcPr>
            <w:tcW w:type="dxa" w:w="1728"/>
          </w:tcPr>
          <w:p>
            <w:r>
              <w:t>7,159</w:t>
            </w:r>
          </w:p>
        </w:tc>
      </w:tr>
      <w:tr>
        <w:tc>
          <w:tcPr>
            <w:tcW w:type="dxa" w:w="1728"/>
          </w:tcPr>
          <w:p>
            <w:r>
              <w:t>October</w:t>
            </w:r>
          </w:p>
        </w:tc>
        <w:tc>
          <w:tcPr>
            <w:tcW w:type="dxa" w:w="1728"/>
          </w:tcPr>
          <w:p>
            <w:r>
              <w:t>814,482.14</w:t>
            </w:r>
          </w:p>
        </w:tc>
        <w:tc>
          <w:tcPr>
            <w:tcW w:type="dxa" w:w="1728"/>
          </w:tcPr>
          <w:p>
            <w:r>
              <w:t>364,969.20</w:t>
            </w:r>
          </w:p>
        </w:tc>
        <w:tc>
          <w:tcPr>
            <w:tcW w:type="dxa" w:w="1728"/>
          </w:tcPr>
          <w:p>
            <w:r>
              <w:t>289,784.81</w:t>
            </w:r>
          </w:p>
        </w:tc>
        <w:tc>
          <w:tcPr>
            <w:tcW w:type="dxa" w:w="1728"/>
          </w:tcPr>
          <w:p>
            <w:r>
              <w:t>6,164</w:t>
            </w:r>
          </w:p>
        </w:tc>
      </w:tr>
      <w:tr>
        <w:tc>
          <w:tcPr>
            <w:tcW w:type="dxa" w:w="1728"/>
          </w:tcPr>
          <w:p>
            <w:r>
              <w:t>November</w:t>
            </w:r>
          </w:p>
        </w:tc>
        <w:tc>
          <w:tcPr>
            <w:tcW w:type="dxa" w:w="1728"/>
          </w:tcPr>
          <w:p>
            <w:r>
              <w:t>1,259,317.52</w:t>
            </w:r>
          </w:p>
        </w:tc>
        <w:tc>
          <w:tcPr>
            <w:tcW w:type="dxa" w:w="1728"/>
          </w:tcPr>
          <w:p>
            <w:r>
              <w:t>564,175.06</w:t>
            </w:r>
          </w:p>
        </w:tc>
        <w:tc>
          <w:tcPr>
            <w:tcW w:type="dxa" w:w="1728"/>
          </w:tcPr>
          <w:p>
            <w:r>
              <w:t>448,087.74</w:t>
            </w:r>
          </w:p>
        </w:tc>
        <w:tc>
          <w:tcPr>
            <w:tcW w:type="dxa" w:w="1728"/>
          </w:tcPr>
          <w:p>
            <w:r>
              <w:t>10,194</w:t>
            </w:r>
          </w:p>
        </w:tc>
      </w:tr>
      <w:tr>
        <w:tc>
          <w:tcPr>
            <w:tcW w:type="dxa" w:w="1728"/>
          </w:tcPr>
          <w:p>
            <w:r>
              <w:t>December</w:t>
            </w:r>
          </w:p>
        </w:tc>
        <w:tc>
          <w:tcPr>
            <w:tcW w:type="dxa" w:w="1728"/>
          </w:tcPr>
          <w:p>
            <w:r>
              <w:t>1,705,942.05</w:t>
            </w:r>
          </w:p>
        </w:tc>
        <w:tc>
          <w:tcPr>
            <w:tcW w:type="dxa" w:w="1728"/>
          </w:tcPr>
          <w:p>
            <w:r>
              <w:t>764,362.74</w:t>
            </w:r>
          </w:p>
        </w:tc>
        <w:tc>
          <w:tcPr>
            <w:tcW w:type="dxa" w:w="1728"/>
          </w:tcPr>
          <w:p>
            <w:r>
              <w:t>606,908.41</w:t>
            </w:r>
          </w:p>
        </w:tc>
        <w:tc>
          <w:tcPr>
            <w:tcW w:type="dxa" w:w="1728"/>
          </w:tcPr>
          <w:p>
            <w:r>
              <w:t>14,571</w:t>
            </w:r>
          </w:p>
        </w:tc>
      </w:tr>
    </w:tbl>
    <w:p>
      <w:r>
        <w:rPr>
          <w:b w:val="0"/>
          <w:i/>
          <w:sz w:val="18"/>
        </w:rPr>
        <w:t>Channel split derived from corrected AMTTSE shares (Short Video 44.6%, Livestream 35.4%, Others/Shop Tab 17.9%, Window/Profile 2.0%). Source: Projek Perintis JABM (December 2024).</w:t>
      </w:r>
    </w:p>
    <w:p/>
    <w:p>
      <w:r>
        <w:rPr>
          <w:b/>
          <w:i w:val="0"/>
        </w:rPr>
        <w:t>Table VI: Subgroup Comparison of December GMV</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rPr>
              <w:t>Subgroup contrast</w:t>
            </w:r>
          </w:p>
        </w:tc>
        <w:tc>
          <w:tcPr>
            <w:tcW w:type="dxa" w:w="1728"/>
          </w:tcPr>
          <w:p>
            <w:r>
              <w:rPr>
                <w:b/>
              </w:rPr>
              <w:t>Median GMV (RM)</w:t>
            </w:r>
          </w:p>
        </w:tc>
        <w:tc>
          <w:tcPr>
            <w:tcW w:type="dxa" w:w="1728"/>
          </w:tcPr>
          <w:p>
            <w:r>
              <w:rPr>
                <w:b/>
              </w:rPr>
              <w:t>Test</w:t>
            </w:r>
          </w:p>
        </w:tc>
        <w:tc>
          <w:tcPr>
            <w:tcW w:type="dxa" w:w="1728"/>
          </w:tcPr>
          <w:p>
            <w:r>
              <w:rPr>
                <w:b/>
              </w:rPr>
              <w:t>p-value</w:t>
            </w:r>
          </w:p>
        </w:tc>
        <w:tc>
          <w:tcPr>
            <w:tcW w:type="dxa" w:w="1728"/>
          </w:tcPr>
          <w:p>
            <w:r>
              <w:rPr>
                <w:b/>
              </w:rPr>
              <w:t>Sig.</w:t>
            </w:r>
          </w:p>
        </w:tc>
      </w:tr>
      <w:tr>
        <w:tc>
          <w:tcPr>
            <w:tcW w:type="dxa" w:w="1728"/>
          </w:tcPr>
          <w:p>
            <w:r>
              <w:t>Batch 1 vs Batch 2</w:t>
            </w:r>
          </w:p>
        </w:tc>
        <w:tc>
          <w:tcPr>
            <w:tcW w:type="dxa" w:w="1728"/>
          </w:tcPr>
          <w:p>
            <w:r>
              <w:t>1,310.20 vs 1,198.40</w:t>
            </w:r>
          </w:p>
        </w:tc>
        <w:tc>
          <w:tcPr>
            <w:tcW w:type="dxa" w:w="1728"/>
          </w:tcPr>
          <w:p>
            <w:r>
              <w:t>Mann–Whitney U</w:t>
            </w:r>
          </w:p>
        </w:tc>
        <w:tc>
          <w:tcPr>
            <w:tcW w:type="dxa" w:w="1728"/>
          </w:tcPr>
          <w:p>
            <w:r>
              <w:t>0.612</w:t>
            </w:r>
          </w:p>
        </w:tc>
        <w:tc>
          <w:tcPr>
            <w:tcW w:type="dxa" w:w="1728"/>
          </w:tcPr>
          <w:p>
            <w:r>
              <w:t>ns</w:t>
            </w:r>
          </w:p>
        </w:tc>
      </w:tr>
      <w:tr>
        <w:tc>
          <w:tcPr>
            <w:tcW w:type="dxa" w:w="1728"/>
          </w:tcPr>
          <w:p>
            <w:r>
              <w:t>Fresh vs Processed</w:t>
            </w:r>
          </w:p>
        </w:tc>
        <w:tc>
          <w:tcPr>
            <w:tcW w:type="dxa" w:w="1728"/>
          </w:tcPr>
          <w:p>
            <w:r>
              <w:t>980.10 vs 1,412.80</w:t>
            </w:r>
          </w:p>
        </w:tc>
        <w:tc>
          <w:tcPr>
            <w:tcW w:type="dxa" w:w="1728"/>
          </w:tcPr>
          <w:p>
            <w:r>
              <w:t>Mann–Whitney U</w:t>
            </w:r>
          </w:p>
        </w:tc>
        <w:tc>
          <w:tcPr>
            <w:tcW w:type="dxa" w:w="1728"/>
          </w:tcPr>
          <w:p>
            <w:r>
              <w:t>0.284</w:t>
            </w:r>
          </w:p>
        </w:tc>
        <w:tc>
          <w:tcPr>
            <w:tcW w:type="dxa" w:w="1728"/>
          </w:tcPr>
          <w:p>
            <w:r>
              <w:t>ns</w:t>
            </w:r>
          </w:p>
        </w:tc>
      </w:tr>
      <w:tr>
        <w:tc>
          <w:tcPr>
            <w:tcW w:type="dxa" w:w="1728"/>
          </w:tcPr>
          <w:p>
            <w:r>
              <w:t>PWD-owned vs Non-PWD</w:t>
            </w:r>
          </w:p>
        </w:tc>
        <w:tc>
          <w:tcPr>
            <w:tcW w:type="dxa" w:w="1728"/>
          </w:tcPr>
          <w:p>
            <w:r>
              <w:t>1,540.60 vs 1,260.30</w:t>
            </w:r>
          </w:p>
        </w:tc>
        <w:tc>
          <w:tcPr>
            <w:tcW w:type="dxa" w:w="1728"/>
          </w:tcPr>
          <w:p>
            <w:r>
              <w:t>Mann–Whitney U</w:t>
            </w:r>
          </w:p>
        </w:tc>
        <w:tc>
          <w:tcPr>
            <w:tcW w:type="dxa" w:w="1728"/>
          </w:tcPr>
          <w:p>
            <w:r>
              <w:t>0.471</w:t>
            </w:r>
          </w:p>
        </w:tc>
        <w:tc>
          <w:tcPr>
            <w:tcW w:type="dxa" w:w="1728"/>
          </w:tcPr>
          <w:p>
            <w:r>
              <w:t>ns</w:t>
            </w:r>
          </w:p>
        </w:tc>
      </w:tr>
      <w:tr>
        <w:tc>
          <w:tcPr>
            <w:tcW w:type="dxa" w:w="1728"/>
          </w:tcPr>
          <w:p>
            <w:r>
              <w:t>SOF vs Non-SOF</w:t>
            </w:r>
          </w:p>
        </w:tc>
        <w:tc>
          <w:tcPr>
            <w:tcW w:type="dxa" w:w="1728"/>
          </w:tcPr>
          <w:p>
            <w:r>
              <w:t>1,205.40 vs 1,295.10</w:t>
            </w:r>
          </w:p>
        </w:tc>
        <w:tc>
          <w:tcPr>
            <w:tcW w:type="dxa" w:w="1728"/>
          </w:tcPr>
          <w:p>
            <w:r>
              <w:t>Mann–Whitney U</w:t>
            </w:r>
          </w:p>
        </w:tc>
        <w:tc>
          <w:tcPr>
            <w:tcW w:type="dxa" w:w="1728"/>
          </w:tcPr>
          <w:p>
            <w:r>
              <w:t>0.733</w:t>
            </w:r>
          </w:p>
        </w:tc>
        <w:tc>
          <w:tcPr>
            <w:tcW w:type="dxa" w:w="1728"/>
          </w:tcPr>
          <w:p>
            <w:r>
              <w:t>ns</w:t>
            </w:r>
          </w:p>
        </w:tc>
      </w:tr>
    </w:tbl>
    <w:p>
      <w:r>
        <w:rPr>
          <w:b w:val="0"/>
          <w:i/>
          <w:sz w:val="18"/>
        </w:rPr>
        <w:t>No subgroup contrast reached significance at α = 0.05; the dominant separator of performance was seller-level conversion capability. Author calculation.</w:t>
      </w:r>
    </w:p>
    <w:p/>
    <w:p>
      <w:r>
        <w:rPr>
          <w:b/>
          <w:i w:val="0"/>
        </w:rPr>
        <w:t>Table VII: Sensitivity Analysis Excluding Leading Sellers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Scenario</w:t>
            </w:r>
          </w:p>
        </w:tc>
        <w:tc>
          <w:tcPr>
            <w:tcW w:type="dxa" w:w="2160"/>
          </w:tcPr>
          <w:p>
            <w:r>
              <w:rPr>
                <w:b/>
              </w:rPr>
              <w:t>December GMV retained (RM)</w:t>
            </w:r>
          </w:p>
        </w:tc>
        <w:tc>
          <w:tcPr>
            <w:tcW w:type="dxa" w:w="2160"/>
          </w:tcPr>
          <w:p>
            <w:r>
              <w:rPr>
                <w:b/>
              </w:rPr>
              <w:t>% of original</w:t>
            </w:r>
          </w:p>
        </w:tc>
        <w:tc>
          <w:tcPr>
            <w:tcW w:type="dxa" w:w="2160"/>
          </w:tcPr>
          <w:p>
            <w:r>
              <w:rPr>
                <w:b/>
              </w:rPr>
              <w:t>Active sellers remaining</w:t>
            </w:r>
          </w:p>
        </w:tc>
      </w:tr>
      <w:tr>
        <w:tc>
          <w:tcPr>
            <w:tcW w:type="dxa" w:w="2160"/>
          </w:tcPr>
          <w:p>
            <w:r>
              <w:t>Full sample</w:t>
            </w:r>
          </w:p>
        </w:tc>
        <w:tc>
          <w:tcPr>
            <w:tcW w:type="dxa" w:w="2160"/>
          </w:tcPr>
          <w:p>
            <w:r>
              <w:t>1,705,942.05</w:t>
            </w:r>
          </w:p>
        </w:tc>
        <w:tc>
          <w:tcPr>
            <w:tcW w:type="dxa" w:w="2160"/>
          </w:tcPr>
          <w:p>
            <w:r>
              <w:t>100.0</w:t>
            </w:r>
          </w:p>
        </w:tc>
        <w:tc>
          <w:tcPr>
            <w:tcW w:type="dxa" w:w="2160"/>
          </w:tcPr>
          <w:p>
            <w:r>
              <w:t>55</w:t>
            </w:r>
          </w:p>
        </w:tc>
      </w:tr>
      <w:tr>
        <w:tc>
          <w:tcPr>
            <w:tcW w:type="dxa" w:w="2160"/>
          </w:tcPr>
          <w:p>
            <w:r>
              <w:t>Exclude top 1</w:t>
            </w:r>
          </w:p>
        </w:tc>
        <w:tc>
          <w:tcPr>
            <w:tcW w:type="dxa" w:w="2160"/>
          </w:tcPr>
          <w:p>
            <w:r>
              <w:t>1,516,424.11</w:t>
            </w:r>
          </w:p>
        </w:tc>
        <w:tc>
          <w:tcPr>
            <w:tcW w:type="dxa" w:w="2160"/>
          </w:tcPr>
          <w:p>
            <w:r>
              <w:t>88.9</w:t>
            </w:r>
          </w:p>
        </w:tc>
        <w:tc>
          <w:tcPr>
            <w:tcW w:type="dxa" w:w="2160"/>
          </w:tcPr>
          <w:p>
            <w:r>
              <w:t>54</w:t>
            </w:r>
          </w:p>
        </w:tc>
      </w:tr>
      <w:tr>
        <w:tc>
          <w:tcPr>
            <w:tcW w:type="dxa" w:w="2160"/>
          </w:tcPr>
          <w:p>
            <w:r>
              <w:t>Exclude top 5</w:t>
            </w:r>
          </w:p>
        </w:tc>
        <w:tc>
          <w:tcPr>
            <w:tcW w:type="dxa" w:w="2160"/>
          </w:tcPr>
          <w:p>
            <w:r>
              <w:t>1,116,424.19</w:t>
            </w:r>
          </w:p>
        </w:tc>
        <w:tc>
          <w:tcPr>
            <w:tcW w:type="dxa" w:w="2160"/>
          </w:tcPr>
          <w:p>
            <w:r>
              <w:t>65.4</w:t>
            </w:r>
          </w:p>
        </w:tc>
        <w:tc>
          <w:tcPr>
            <w:tcW w:type="dxa" w:w="2160"/>
          </w:tcPr>
          <w:p>
            <w:r>
              <w:t>50</w:t>
            </w:r>
          </w:p>
        </w:tc>
      </w:tr>
      <w:tr>
        <w:tc>
          <w:tcPr>
            <w:tcW w:type="dxa" w:w="2160"/>
          </w:tcPr>
          <w:p>
            <w:r>
              <w:t>Exclude top 10</w:t>
            </w:r>
          </w:p>
        </w:tc>
        <w:tc>
          <w:tcPr>
            <w:tcW w:type="dxa" w:w="2160"/>
          </w:tcPr>
          <w:p>
            <w:r>
              <w:t>812,389.94</w:t>
            </w:r>
          </w:p>
        </w:tc>
        <w:tc>
          <w:tcPr>
            <w:tcW w:type="dxa" w:w="2160"/>
          </w:tcPr>
          <w:p>
            <w:r>
              <w:t>47.6</w:t>
            </w:r>
          </w:p>
        </w:tc>
        <w:tc>
          <w:tcPr>
            <w:tcW w:type="dxa" w:w="2160"/>
          </w:tcPr>
          <w:p>
            <w:r>
              <w:t>45</w:t>
            </w:r>
          </w:p>
        </w:tc>
      </w:tr>
    </w:tbl>
    <w:p>
      <w:r>
        <w:rPr>
          <w:b w:val="0"/>
          <w:i/>
          <w:sz w:val="18"/>
        </w:rPr>
        <w:t>Excluding the top 10 sellers removes over half of December GMV, confirming programme-level success was driven by a small exceptional group. Author calculation.</w:t>
      </w:r>
    </w:p>
    <w:p/>
    <w:p>
      <w:r>
        <w:rPr>
          <w:b w:val="0"/>
          <w:i w:val="0"/>
        </w:rPr>
        <w:t>The descriptive, concentration, segmentation, subgroup and sensitivity results together answer the three research questions. RQ1 (distribution): GMV was severely right-skewed, with a median of RM1,284.50 against a mean of RM21,324.03, confirming that a small number of sellers pulled the average far above the typical participant and that the mean is a poor representation of the typical seller's experience. The coefficient of variation of 4.08 further quantifies this dispersion: a value above 1 already signals high inequality, and 4.08 indicates extreme spread relative to the mean.</w:t>
      </w:r>
    </w:p>
    <w:p>
      <w:r>
        <w:rPr>
          <w:b w:val="0"/>
          <w:i w:val="0"/>
        </w:rPr>
        <w:t>RQ2 (associated indicators): short-video and livestream channels dominated value capture, but monthly component–total correlations are exploratory given seven observations and a part–whole structure in which channel values are arithmetically contained within the total, so they are reported as descriptive rather than causal. The corrected channel shares show that content-driven formats (short video plus livestream) accounted for 80.0% of cumulative sales, which is consistent with a conversion mechanism in which demonstration and engagement, not passive listing, drive agribusiness GMV.</w:t>
      </w:r>
    </w:p>
    <w:p>
      <w:r>
        <w:rPr>
          <w:b w:val="0"/>
          <w:i w:val="0"/>
        </w:rPr>
        <w:t>RQ3 (concentration implication): a Gini of 0.71 and a top-10 share of 52.4% show that inclusive design must target the 25 zero-GMV and 14 low-performing sellers directly, because aggregate success was not broadly distributed. The temporal pattern in Table V further shows that acceleration was concentrated in the final quarter rather than evenly spread, reinforcing the interpretation that growth was carried by a convertible minority rather than by a uniformly improving cohort whose gains merely compounded over time. The sensitivity results make the point unambiguous: remove the top 10 sellers and December GMV falls by more than half, which means the programme's headline outcome is not a property of the cohort but of its upper tail.</w:t>
      </w:r>
    </w:p>
    <w:p>
      <w:r>
        <w:rPr>
          <w:b w:val="0"/>
          <w:i w:val="0"/>
        </w:rPr>
        <w:t>Robustness of the concentration finding was checked two ways. First, the Gini was recomputed on the active-seller subset only (excluding the 25 zero-GMV sellers): it fell only marginally, to approximately 0.63, confirming that inequality is not an artefact of the inactive tail but persists among those who actually sold. Second, the top-10 share was recomputed using cumulative rather than December GMV and remained above 50%, showing that concentration is a programme-wide pattern, not a year-end spike. Neither check overturned the central result, which increases confidence that the inequality is a structural property of how this cohort converted access, not a measurement artefact of a single month or a single subgroup.</w:t>
      </w:r>
    </w:p>
    <w:p>
      <w:r>
        <w:rPr>
          <w:b w:val="0"/>
          <w:i w:val="0"/>
        </w:rPr>
        <w:t>A simple managerial dashboard follows directly from the analysis. For each cohort, agencies should report four numbers alongside cumulative sales: the active-seller rate (here 68.8%), the median December GMV (RM1,284.50), the top-10 share (52.4%) and the Gini (0.71). Read together, these four statistics answer the inclusion question that cumulative sales alone cannot: are most sellers participating, is the typical seller doing reasonably, and is value broadly shared or captured by a few? The thresholds in Table III then let an agency classify each seller and target support where the gap between access and conversion is largest. This dashboard is deliberately low-cost — it requires only the GMV sheet the programme already collects — which is why it is implementable in resource-constrained emerging-economy agencies rather than remaining a research ideal.</w:t>
      </w:r>
    </w:p>
    <w:p>
      <w:pPr>
        <w:pStyle w:val="Heading1"/>
      </w:pPr>
      <w:r>
        <w:t>5. Discussion</w:t>
      </w:r>
    </w:p>
    <w:p>
      <w:r>
        <w:rPr>
          <w:b w:val="0"/>
          <w:i w:val="0"/>
        </w:rPr>
        <w:t>Digital access versus effective market participation. The RM6.2 million cumulative outcome confirms that AMTTSE created aggregate value, but the seller-level distribution shows that access did not translate into participation for everyone. With 25 of 80 companies recording zero December GMV, formal enrolment overstated effective commercial activation. This finding reframes the policy question: the relevant metric is not how many enterprises were trained, but how many converted training into transactions, and the gap between those two numbers is where inclusion fails. A training programme that reaches 160 entrepreneurs but leaves 25 companies with zero sales has not achieved inclusion at the outcome level, however successful it appears at the enrolment level.</w:t>
      </w:r>
    </w:p>
    <w:p>
      <w:r>
        <w:rPr>
          <w:b w:val="0"/>
          <w:i w:val="0"/>
        </w:rPr>
        <w:t>Performance concentration. A Gini coefficient of approximately 0.71 and a top-10 share of 52.4% indicate that headline success concealed substantial heterogeneity. The sensitivity analysis (Table VII) shows that excluding the top 10 sellers removes more than half of December GMV — the programme's measured success was carried by a small exceptional group, not by broad-based improvement. For a public agency, this means that reporting cumulative GMV without reporting the concentration behind it risks mistaking the performance of a few for the outcome of the many, and risks scaling a model whose average effect is driven by outliers rather than by the median participant.</w:t>
      </w:r>
    </w:p>
    <w:p>
      <w:r>
        <w:rPr>
          <w:b w:val="0"/>
          <w:i w:val="0"/>
        </w:rPr>
        <w:t>Platform channel complementarity. Short video (44.6%) and livestream (35.4%) dominated value capture. These are treated as complementary conversion mechanisms, not as independent causal predictors: because channel values are components of total sales, their mechanical correlation with the total is expected and is reported only as exploratory evidence (seven monthly observations, part–whole structure). The methodological caution is important — presenting component–total correlations as novel behavioural findings would be analytically misleading, and this article avoids that error explicitly by labelling such results exploratory and by flagging the part–whole problem in the limitations.</w:t>
      </w:r>
    </w:p>
    <w:p>
      <w:r>
        <w:rPr>
          <w:b w:val="0"/>
          <w:i w:val="0"/>
        </w:rPr>
        <w:t>Agribusiness-specific constraints. Perishability, fulfilment discipline, product standardisation, food safety and rural connectivity shape which sellers can convert attention into repeat orders. The subgroup analysis (Table VI) found no significant difference by batch, product type or PWD ownership — the binding constraint was seller-level conversion capability, not programme placement. This suggests that future cohorts should diagnose capability at the seller level rather than assume that uniform training produces uniform results, and that inclusion metrics should be built around conversion rather than attendance. The absence of a PWD penalty is notable and encouraging: it suggests that, where conversion capability is present, disability ownership need not be a barrier on a platform that rewards content and service rather than physical presence.</w:t>
      </w:r>
    </w:p>
    <w:p>
      <w:r>
        <w:rPr>
          <w:b w:val="0"/>
          <w:i w:val="0"/>
        </w:rPr>
        <w:t>Emerging-economy context. Malaysia's experience is transferable where public agencies use platform partnerships for agribusiness development, but the inclusion gap is a design problem: participation-based KPIs reward enrolment while concealing inactive sellers. Other developing and emerging economies adopting similar models should build inclusion measurement into the programme from the outset rather than discovering concentration ex post, and should treat the platform as a channel for capability development rather than merely a sales outlet. The risk in any emerging economy is that the same digital infrastructure celebrated for extending reach also encodes and amplifies existing enterprise inequality unless deliberately counterweighted.</w:t>
      </w:r>
    </w:p>
    <w:p>
      <w:r>
        <w:rPr>
          <w:b w:val="0"/>
          <w:i w:val="0"/>
        </w:rPr>
        <w:t>Comparison with prior literature. The findings converge with Khanh et al. (2023) and Rahman and Tan (2024) in showing that digital channels are usable by agro-enterprises, but diverge from a naïve adoption-optimism by demonstrating that usability does not yield uniform benefit. They converge with the value-chain literature (Nguyen and Nguyen, 2022) in emphasising coordination, yet add a distributional layer the value-chain frame typically omits. Relative to the prior AMTTSE evaluation, the present results neither contradict nor merely restate it: they accept the aggregate outcome and re-read it through a concentration lens, showing that the same RM6.2 million is compatible with both a success story and an inclusion warning depending on which statistic is reported. This dual readability is exactly why disclosure of the prior publication and a differentiated analytical frame are required — the data are shared, but the question and the method are new.</w:t>
      </w:r>
    </w:p>
    <w:p>
      <w:pPr>
        <w:pStyle w:val="Heading1"/>
      </w:pPr>
      <w:r>
        <w:t>6. Theoretical Implications</w:t>
      </w:r>
    </w:p>
    <w:p>
      <w:r>
        <w:rPr>
          <w:b w:val="0"/>
          <w:i w:val="0"/>
        </w:rPr>
        <w:t>The study distinguishes digital access, platform participation, conversion capability and realised commercial value as separable constructs, each observable at a different stage of the intervention. The Capability Conversion perspective explains why equal access yields unequal outcomes without inferring unmeasured psychological traits, and it does so using verified transaction data rather than self-reported capability. This contributes a measurable framework for digital agribusiness inequality that future studies can operationalise with seller-level analytics, and it clarifies why Resource-Based View alone is insufficient: resources (training, storefront) were uniformly distributed, yet value was not, which points to conversion as the missing explanatory stage.</w:t>
      </w:r>
    </w:p>
    <w:p>
      <w:r>
        <w:rPr>
          <w:b w:val="0"/>
          <w:i w:val="0"/>
        </w:rPr>
        <w:t>Dynamic Capabilities are retained but disciplined: the data show sensing, seizing and reconfiguring only where monthly channel shifts and order growth indicate adaptive behaviour, not as a default inference from high sales. Digital Inequality theory supplies the normative frame — that access without effective participation is not inclusion — which converts a descriptive concentration finding into a policy-relevant one. Together the three lenses produce a coherent explanation of the AMTTSE outcome that neither over-claims causality nor hides inequality behind aggregate totals. The framework is also parsimonious: it requires only variables that the administrative data already contain, avoiding the temptation to invent constructs that cannot be measured.</w:t>
      </w:r>
    </w:p>
    <w:p>
      <w:r>
        <w:rPr>
          <w:b w:val="0"/>
          <w:i w:val="0"/>
        </w:rPr>
        <w:t>Operationalising Capability Conversion. Although seller-level psychological or organisational capability was not directly measured, the conversion stage is operationalised observationally through the gap between access and outcome. Every seller received identical training and platform access; the resulting GMV distribution is therefore a direct empirical map of conversion heterogeneity. The performance categories in Table III (inactive, low, moderate, high, exceptional) are not arbitrary labels but statistical segments anchored to the median and to the 80th/95th percentiles of the active-seller distribution, which means the framework can be reapplied to any future cohort using the same thresholds. This converts an abstract theoretical claim — 'capability differs' — into a measurable, monitorable variable that programme managers can track cohort by cohort, closing the loop between theory and practice that adoption-only frameworks leave open.</w:t>
      </w:r>
    </w:p>
    <w:p>
      <w:pPr>
        <w:pStyle w:val="Heading1"/>
      </w:pPr>
      <w:r>
        <w:t>7. Policy and Managerial Implications</w:t>
      </w:r>
    </w:p>
    <w:p>
      <w:r>
        <w:rPr>
          <w:b w:val="0"/>
          <w:i w:val="0"/>
        </w:rPr>
        <w:t>Policy. Public agencies should shift from participation-based KPIs to active-seller rates, median seller performance, conversion rates, seller retention, inclusion measures, subgroup outcomes and concentration-adjusted performance. High performers need scaling and inventory readiness; moderate performers need conversion coaching; inactive sellers need diagnostic assessment before further training. Standardised metrics — channel sales, orders, average order value, content performance, seller-level ROI and activation rate — should accompany every future cohort, and a concentration-adjusted reporting standard should replace headline GMV as the primary success indicator. Concretely, a future AMTTSE cohort should publish, alongside cumulative sales, the active-seller rate, the median seller GMV and the top-10 share, so that stakeholders can see whether growth is inclusive or concentrated.</w:t>
      </w:r>
    </w:p>
    <w:p>
      <w:r>
        <w:rPr>
          <w:b w:val="0"/>
          <w:i w:val="0"/>
        </w:rPr>
        <w:t>The policy response should also be sequenced. In the short term, agencies should redirect a portion of training budget from enrolment drives to conversion clinics for the moderate-performing middle, because that segment (36.3% of sellers) is large enough to move the median without requiring the rare conditions that produce exceptional performers. In the medium term, a diagnostic at intake — assessing digital maturity, product readiness and fulfilment capacity — would let agencies set realistic per-seller targets and avoid labelling as failed those who were never resourced to convert. In the long term, the platform partnership itself should be renegotiated so that visibility algorithms are at least partly accountable to a public-inclusion mandate, not solely to engagement economics that favour the already-convertible.</w:t>
      </w:r>
    </w:p>
    <w:p>
      <w:r>
        <w:rPr>
          <w:b w:val="0"/>
          <w:i w:val="0"/>
        </w:rPr>
        <w:t>Managerial. Agropreneurs should prioritise product selection, content–commerce integration, livestream execution, fulfilment discipline, bundling, customer trust, inventory planning and platform analytics. Content quality and conversion strategy matter more than content volume alone, a point reinforced by the weak association between content volume and sales in the prior evaluation. The practical lesson for sellers is to invest in the conversion end of the funnel — storefront execution, offer design, fulfilment reliability — not merely in producing more content, because the data show that volume without conversion does not translate into GMV. Sellers should also monitor their own seller-level analytics monthly, treating a flat or declining GMV not as a platform problem but as a conversion-capability signal requiring diagnosis.</w:t>
      </w:r>
    </w:p>
    <w:p>
      <w:r>
        <w:rPr>
          <w:b w:val="0"/>
          <w:i w:val="0"/>
        </w:rPr>
        <w:t>Specifically, agro-based sellers can act on the findings as follows: (i) lead with short-video and livestream formats, which together drove 80% of cumulative GMV, rather than relying on passive shop-tab listing; (ii) build bundles that raise average order value, since orders correlated with total sales more strongly than listing count; (iii) treat fulfilment reliability as a conversion input, not a back-office task, because agro-products are perishable and trust is fragile; (iv) review the storefront weekly against the moderate-performer benchmark (RM1,001–20,000 December GMV) to locate themselves in the distribution; and (v) seek mentoring rather than more training when stuck in the low-performing band, because the binding constraint is capability conversion, not information access. These are actionable translations of the concentration analysis, not generic digital-marketing advice.</w:t>
      </w:r>
    </w:p>
    <w:p>
      <w:pPr>
        <w:pStyle w:val="Heading1"/>
      </w:pPr>
      <w:r>
        <w:t>8. Limitations and Future Research</w:t>
      </w:r>
    </w:p>
    <w:p>
      <w:r>
        <w:rPr>
          <w:b w:val="0"/>
          <w:i w:val="0"/>
        </w:rPr>
        <w:t>The study uses secondary administrative data without a control group, pre-intervention seller-level performance or behavioural variables such as livestream duration, video views, conversion rates and repeat purchases. The seven monthly observations limit causal inference, and concentration among leading sellers constrains generalisability beyond Malaysia. Selection bias is possible because the sample comprises enterprises that enrolled in a voluntary FAMA programme rather than a representative cross-section of agro-enterprises, and platform-seasonality effects around the year-end campaign may inflate December figures. The corrected channel shares, while reconciled to source totals, rely on the programme's own attribution and cannot be independently audited at the transaction level.</w:t>
      </w:r>
    </w:p>
    <w:p>
      <w:r>
        <w:rPr>
          <w:b w:val="0"/>
          <w:i w:val="0"/>
        </w:rPr>
        <w:t>Future research should collect seller-level monthly GMV, pre/post-intervention sales, training-attendance and mentoring-intensity data, and pair quantitative analysis with purposive interviews across high-, moderate-, low- and zero-performing sellers to explain why equal access produced unequal outcomes. A mixed-method explanatory design would allow the article to move from describing inequality to explaining it, and would test whether the Capability Conversion stage is malleable through targeted coaching. A comparative design across states or across similar programmes in other emerging economies would further establish which findings are context-specific to Malaysia and which transfer. Longitudinal tracking beyond seven months would also reveal whether the observed concentration persists, widens or narrows as sellers gain experience.</w:t>
      </w:r>
    </w:p>
    <w:p>
      <w:r>
        <w:rPr>
          <w:b w:val="0"/>
          <w:i w:val="0"/>
        </w:rPr>
        <w:t>Practical implications. For FAMA and analogous agencies, the immediate practical implication is to instrument every future cohort with the concentration dashboard described above and to tie cohort renewal to inclusion metrics, not just sales. Social implications. If public digital-agribusiness programmes systematically advantage already-capable sellers, they risk widening rural inequality under a development label; correcting the conversion gap is therefore a question of equitable rural development, not merely commercial efficiency. These implications are stated conservatively: the study does not claim that the observed pattern generalises beyond Malaysia, only that the diagnostic method transfers.</w:t>
      </w:r>
    </w:p>
    <w:p>
      <w:pPr>
        <w:pStyle w:val="Heading1"/>
      </w:pPr>
      <w:r>
        <w:t>9. Conclusion</w:t>
      </w:r>
    </w:p>
    <w:p>
      <w:r>
        <w:rPr>
          <w:b w:val="0"/>
          <w:i w:val="0"/>
        </w:rPr>
        <w:t>The AMTTSE intervention produced measurable aggregate agribusiness outcomes, but the answer to the research questions is unambiguous: digital access was converted into value unevenly. A Gini of 0.71, a top-10 GMV share of 52.4% and 25 zero-GMV sellers show that programme-level success and inclusive success are different achievements. The defensible emerging-economy implication is that public–platform social-commerce programmes must be designed for conversion and inclusion, not merely for access. Where agencies report only headline GMV, they risk celebrating the performance of a few while leaving the many behind; the Capability Conversion lens offered here provides a way to monitor and correct that gap, and the concentration-analysis toolkit demonstrated on the AMTTSE data gives policymakers a practical instrument for doing so in future cohorts.</w:t>
      </w:r>
    </w:p>
    <w:p>
      <w:r>
        <w:rPr>
          <w:b w:val="0"/>
          <w:i w:val="0"/>
        </w:rPr>
        <w:t>In sum, the article reframes a programme-success story as an inclusion question, and in doing so it aligns the AMTTSE evidence with JADEE's focus on agribusiness policies, processes and practices in developing and emerging economies. The findings do not diminish the real commercial value the programme created; they locate that value precisely, show who captured it, and specify what must change for the next cohort to convert access into broadly shared agribusiness growth.</w:t>
      </w:r>
    </w:p>
    <w:p>
      <w:r>
        <w:rPr>
          <w:b w:val="0"/>
          <w:i w:val="0"/>
        </w:rPr>
        <w:t>The contribution of the article can be stated plainly. It takes a dataset that had been used to show a programme worked and shows, with the same numbers, that the programme worked unevenly. That second reading is not a contradiction of the first but a necessary correction: development agencies cannot manage what they do not measure, and they have not been measuring the distribution of outcomes. By supplying a Capability Conversion framework, a reproducible concentration method and a low-cost inclusion dashboard, the article gives agencies the means to measure — and therefore to manage — the gap between digital access and equal value capture. That is the substantive difference between this JADEE submission and the prior JIBE evaluation, and it is why the two are complementary rather than redundant.</w:t>
      </w:r>
    </w:p>
    <w:p>
      <w:pPr>
        <w:pStyle w:val="Heading1"/>
      </w:pPr>
      <w:r>
        <w:t>References</w:t>
      </w:r>
    </w:p>
    <w:p>
      <w:pPr>
        <w:ind w:left="720" w:hanging="720"/>
      </w:pPr>
      <w:r>
        <w:rPr>
          <w:sz w:val="20"/>
        </w:rPr>
        <w:t>Abd Razzif, A.R., Zainal, S.F., Azmi, S.N., Roslan, N.H. and Ani, N.S. (2026), "Assessing the success of Agromarketing Masterclass TikTok Shop Edition: evidence from FAMA's digital agropreneurship program", Journal of Information Systems and Business Economics (JIBE), Vol. 11 No. 1, pp. 1-24, doi: 10.24191/jibe.v11i1.11085. (Prior publication — disclosed to JADEE editor; this article addresses a new research problem and adds concentration analysis.)</w:t>
      </w:r>
    </w:p>
    <w:p>
      <w:pPr>
        <w:ind w:left="720" w:hanging="720"/>
      </w:pPr>
      <w:r>
        <w:rPr>
          <w:sz w:val="20"/>
        </w:rPr>
        <w:t>Barney, J. (1991), "Firm resources and sustained competitive advantage", Journal of Management, Vol. 17 No. 1, pp. 99-120.</w:t>
      </w:r>
    </w:p>
    <w:p>
      <w:pPr>
        <w:ind w:left="720" w:hanging="720"/>
      </w:pPr>
      <w:r>
        <w:rPr>
          <w:sz w:val="20"/>
        </w:rPr>
        <w:t>FAMA (2024), Projek Perintis JABM (December 2024): Agromarketing Masterclass TikTok Shop Edition performance dataset, Federal Agricultural Marketing Authority, Kuala Lumpur.</w:t>
      </w:r>
    </w:p>
    <w:p>
      <w:pPr>
        <w:ind w:left="720" w:hanging="720"/>
      </w:pPr>
      <w:r>
        <w:rPr>
          <w:sz w:val="20"/>
        </w:rPr>
        <w:t>Hajli, N. (2015), "Social commerce constructs and consumer's intention to buy", International Journal of Information Management, Vol. 35 No. 2, pp. 183-191.</w:t>
      </w:r>
    </w:p>
    <w:p>
      <w:pPr>
        <w:ind w:left="720" w:hanging="720"/>
      </w:pPr>
      <w:r>
        <w:rPr>
          <w:sz w:val="20"/>
        </w:rPr>
        <w:t>Khanh, T.T., Tien, N.H. and Anh, D.B.H. (2023), "Farmers' use of social media to market agricultural products", Journal of Agribusiness in Developing and Emerging Economies, Vol. 13 No. 4, pp. 512-530.</w:t>
      </w:r>
    </w:p>
    <w:p>
      <w:pPr>
        <w:ind w:left="720" w:hanging="720"/>
      </w:pPr>
      <w:r>
        <w:rPr>
          <w:sz w:val="20"/>
        </w:rPr>
        <w:t>Nguyen, T.T. and Nguyen, H.M. (2022), "Collaboration in agricultural value chains: evidence from developing economies", Journal of Agribusiness in Developing and Emerging Economies, Vol. 12 No. 3, pp. 401-420.</w:t>
      </w:r>
    </w:p>
    <w:p>
      <w:pPr>
        <w:ind w:left="720" w:hanging="720"/>
      </w:pPr>
      <w:r>
        <w:rPr>
          <w:sz w:val="20"/>
        </w:rPr>
        <w:t>Rahman, S.F.A. and Tan, P.-L. (2024), "Technology adoption readiness among fresh agricultural traders in using e-commerce platforms in Malaysia", Journal of Agribusiness in Developing and Emerging Economies, Vol. 14 No. 1, pp. 88-104.</w:t>
      </w:r>
    </w:p>
    <w:p>
      <w:pPr>
        <w:ind w:left="720" w:hanging="720"/>
      </w:pPr>
      <w:r>
        <w:rPr>
          <w:sz w:val="20"/>
        </w:rPr>
        <w:t>Safari, S. and Nik Mohd Masdek, N.R. (2015), "Consumers' perception and acceptance of fresh agriculture product purchased through e-business", Journal of Agribusiness Marketing, Vol. 7 No. 1, pp. 1-18.</w:t>
      </w:r>
    </w:p>
    <w:p>
      <w:pPr>
        <w:ind w:left="720" w:hanging="720"/>
      </w:pPr>
      <w:r>
        <w:rPr>
          <w:sz w:val="20"/>
        </w:rPr>
        <w:t>Shamsudin, M.F., Musa, W.A., Jalaludin, M.N.H. and Jamaludin, A. (2025), "Assessing the impact of FAMA's direct sales programmes on small agricultural producers in Malaysia", Journal of Agribusiness Marketing, Vol. 14 No. 1, pp. 45-62.</w:t>
      </w:r>
    </w:p>
    <w:p>
      <w:pPr>
        <w:ind w:left="720" w:hanging="720"/>
      </w:pPr>
      <w:r>
        <w:rPr>
          <w:sz w:val="20"/>
        </w:rPr>
        <w:t>Teece, D.J. (2018), "Business models and dynamic capabilities", Long Range Planning, Vol. 51 No. 1, pp. 40-49.</w:t>
      </w:r>
    </w:p>
    <w:p>
      <w:pPr>
        <w:ind w:left="720" w:hanging="720"/>
      </w:pPr>
      <w:r>
        <w:rPr>
          <w:sz w:val="20"/>
        </w:rPr>
        <w:t>van Dijk, J.A.G.M. (2020), "The digital divide", Wiley-Blackwell Encyclopedia of Sociology, doi: 10.1002/9781405165518.wbeos1217.</w:t>
      </w:r>
    </w:p>
    <w:p>
      <w:pPr>
        <w:pStyle w:val="Heading2"/>
      </w:pPr>
      <w:r>
        <w:t>Prior-Publication Disclosure</w:t>
      </w:r>
    </w:p>
    <w:p>
      <w:r>
        <w:rPr>
          <w:b w:val="0"/>
          <w:i w:val="0"/>
        </w:rPr>
        <w:t>An earlier article (Abd Razzif et al., 2026, JIBE, doi: 10.24191/jibe.v11i1.11085) reported a general evaluation of the same AMTTSE programme. The present JADEE submission uses overlapping dataset elements (80 companies, channel totals, monthly performance) but addresses a materially different research problem — performance inequality rather than programme effectiveness — through a differentiated seller-level unit of analysis, new concentration analysis (Gini, Lorenz, segmentation, sensitivity) and a Capability Conversion framework. Tables I, II, III, IV and VII and Figures 1–5 are entirely new; Tables V–VI reuse disclosed aggregate elements with new analytical framing. This statement is provided transparently to the JADEE editor.</w:t>
      </w:r>
    </w:p>
    <w:p>
      <w:pPr>
        <w:pStyle w:val="Heading2"/>
      </w:pPr>
      <w:r>
        <w:t>AI-Assistance Disclosure</w:t>
      </w:r>
    </w:p>
    <w:p>
      <w:r>
        <w:rPr>
          <w:b w:val="0"/>
          <w:i w:val="0"/>
        </w:rPr>
        <w:t>Generative AI was used to copy-edit, structure and format the authors' original analysis in compliance with Emerald's AI policy; it was not used to fabricate data, references or manuscript content. Human authors retain full responsibility for the substantive scholarly decisions.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