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b/>
          <w:color w:val="0C1E37"/>
          <w:sz w:val="56"/>
        </w:rPr>
        <w:t>KADIN DUMAI × AINNA</w:t>
      </w:r>
    </w:p>
    <w:p>
      <w:pPr>
        <w:jc w:val="center"/>
      </w:pPr>
      <w:r>
        <w:rPr>
          <w:b/>
          <w:color w:val="12395E"/>
          <w:sz w:val="40"/>
        </w:rPr>
        <w:t>PROGRAM TRANSFORMASI DIGITAL &amp; AGENTIC AI UMKM DUMAI</w:t>
      </w:r>
    </w:p>
    <w:p>
      <w:pPr>
        <w:jc w:val="center"/>
      </w:pPr>
      <w:r>
        <w:rPr>
          <w:i/>
          <w:color w:val="666666"/>
          <w:sz w:val="26"/>
        </w:rPr>
        <w:t>Dari Kehadiran Digital Menuju Operasional Bisnis yang Cerdas</w:t>
      </w:r>
    </w:p>
    <w:p>
      <w:r>
        <w:br/>
      </w:r>
    </w:p>
    <w:tbl>
      <w:tblPr>
        <w:tblW w:type="auto" w:w="0"/>
        <w:jc w:val="center"/>
        <w:tblLayout w:type="autofit"/>
        <w:tblLook w:firstColumn="1" w:firstRow="1" w:lastColumn="0" w:lastRow="0" w:noHBand="0" w:noVBand="1" w:val="04A0"/>
      </w:tblPr>
      <w:tblGrid>
        <w:gridCol w:w="9972"/>
      </w:tblGrid>
      <w:tr>
        <w:tc>
          <w:tcPr>
            <w:tcW w:type="dxa" w:w="9972"/>
            <w:shd w:fill="0C1E37"/>
            <w:vAlign w:val="center"/>
          </w:tcPr>
          <w:p>
            <w:pPr>
              <w:jc w:val="center"/>
            </w:pPr>
            <w:r/>
            <w:r>
              <w:rPr>
                <w:rFonts w:ascii="Aptos" w:hAnsi="Aptos"/>
                <w:b/>
                <w:color w:val="FFFFFF"/>
                <w:sz w:val="22"/>
              </w:rPr>
              <w:t>LEARN  →  BUILD  →  INTEGRATE  →  OWN  →  GROW</w:t>
            </w:r>
          </w:p>
        </w:tc>
      </w:tr>
    </w:tbl>
    <w:p>
      <w:pPr>
        <w:spacing w:after="40"/>
      </w:pPr>
    </w:p>
    <w:p/>
    <w:p/>
    <w:p/>
    <w:p>
      <w:pPr>
        <w:jc w:val="center"/>
      </w:pPr>
      <w:r>
        <w:rPr>
          <w:b/>
          <w:sz w:val="26"/>
        </w:rPr>
        <w:t>Usulan Kolaborasi Strategis</w:t>
      </w:r>
    </w:p>
    <w:p>
      <w:pPr>
        <w:jc w:val="center"/>
      </w:pPr>
      <w:r>
        <w:t>Kamar Dagang dan Industri (KADIN) Kota Dumai × AINNA</w:t>
      </w:r>
    </w:p>
    <w:p>
      <w:pPr>
        <w:jc w:val="center"/>
      </w:pPr>
      <w:r>
        <w:t>Pilot UMKM • Infrastruktur Digital • Business Systems • Automation • Agentic AI</w:t>
      </w:r>
    </w:p>
    <w:p>
      <w:r>
        <w:br w:type="page"/>
      </w:r>
    </w:p>
    <w:p>
      <w:pPr>
        <w:pStyle w:val="Heading1"/>
      </w:pPr>
      <w:r>
        <w:t>1. Ringkasan Eksekutif</w:t>
      </w:r>
    </w:p>
    <w:p>
      <w:pPr>
        <w:spacing w:after="140"/>
      </w:pPr>
      <w:r>
        <w:t>Transformasi digital UMKM tidak lagi cukup hanya dengan membuka akun media sosial, bergabung di marketplace, atau menggunakan aplikasi generik. Tahap berikutnya adalah membangun aset digital, data yang terstruktur, business workflow, automation, visibilitas keuangan, dan kemampuan AI yang benar-benar terhubung dengan operasi bisnis.</w:t>
      </w:r>
    </w:p>
    <w:p>
      <w:pPr>
        <w:spacing w:after="140"/>
      </w:pPr>
      <w:r>
        <w:t>AINNA mengusulkan Program Transformasi Digital &amp; Agentic AI UMKM Dumai sebagai kolaborasi terstruktur bersama KADIN Dumai. Program ini dirancang agar peserta tidak hanya memperoleh pengetahuan, tetapi menghasilkan sistem yang dapat digunakan langsung dalam bisnis masing-masing.</w:t>
      </w:r>
    </w:p>
    <w:p>
      <w:pPr>
        <w:spacing w:after="140"/>
      </w:pPr>
      <w:r>
        <w:t>Pendekatan program adalah Learn → Build → Integrate → Own → Grow. Setiap fase mengarah pada output yang nyata: website, katalog, database, dashboard, workflow, automation, digital audit, AI use case, serta roadmap implementasi 90 hari.</w:t>
      </w:r>
    </w:p>
    <w:p>
      <w:pPr>
        <w:spacing w:after="140"/>
      </w:pPr>
      <w:r>
        <w:t>Program dimulai melalui pilot yang terukur, kemudian dapat berkembang menjadi KADIN Dumai Digital Ecosystem yang mencakup member platform, UMKM directory/marketplace, AI Media Engine, Agentic AI, financial intelligence, serta kolaborasi talenta dan universitas.</w:t>
      </w:r>
    </w:p>
    <w:tbl>
      <w:tblPr>
        <w:tblW w:type="auto" w:w="0"/>
        <w:jc w:val="center"/>
        <w:tblLayout w:type="autofit"/>
        <w:tblLook w:firstColumn="1" w:firstRow="1" w:lastColumn="0" w:lastRow="0" w:noHBand="0" w:noVBand="1" w:val="04A0"/>
      </w:tblPr>
      <w:tblGrid>
        <w:gridCol w:w="9972"/>
      </w:tblGrid>
      <w:tr>
        <w:tc>
          <w:tcPr>
            <w:tcW w:type="dxa" w:w="9972"/>
            <w:shd w:fill="2E7D60"/>
            <w:vAlign w:val="center"/>
          </w:tcPr>
          <w:p>
            <w:pPr>
              <w:jc w:val="center"/>
            </w:pPr>
            <w:r/>
            <w:r>
              <w:rPr>
                <w:rFonts w:ascii="Aptos" w:hAnsi="Aptos"/>
                <w:b/>
                <w:color w:val="FFFFFF"/>
                <w:sz w:val="22"/>
              </w:rPr>
              <w:t>PESERTA PULANG MEMBAWA SISTEM, BUKAN HANYA SERTIFIKAT</w:t>
            </w:r>
          </w:p>
        </w:tc>
      </w:tr>
    </w:tbl>
    <w:p>
      <w:pPr>
        <w:spacing w:after="40"/>
      </w:pPr>
    </w:p>
    <w:p>
      <w:pPr>
        <w:pStyle w:val="Heading1"/>
      </w:pPr>
      <w:r>
        <w:t>2. Tantangan yang Ingin Diselesaikan</w:t>
      </w:r>
    </w:p>
    <w:p>
      <w:r>
        <w:t>Banyak UMKM telah menggunakan teknologi, tetapi adopsinya masih terfragmentasi. Tantangan umum yang ingin ditangani melalui program ini antara lain:</w:t>
      </w:r>
    </w:p>
    <w:p>
      <w:pPr>
        <w:pStyle w:val="ListBullet"/>
        <w:spacing w:after="60"/>
      </w:pPr>
      <w:r>
        <w:t>Data pelanggan, produk, stock, task dan dokumen tersebar di berbagai aplikasi atau spreadsheet.</w:t>
      </w:r>
    </w:p>
    <w:p>
      <w:pPr>
        <w:pStyle w:val="ListBullet"/>
        <w:spacing w:after="60"/>
      </w:pPr>
      <w:r>
        <w:t>Website dan digital presence belum terintegrasi dengan operasi internal.</w:t>
      </w:r>
    </w:p>
    <w:p>
      <w:pPr>
        <w:pStyle w:val="ListBullet"/>
        <w:spacing w:after="60"/>
      </w:pPr>
      <w:r>
        <w:t>Pencatatan pelanggan, pesanan, stock dan follow-up masih banyak dilakukan secara manual.</w:t>
      </w:r>
    </w:p>
    <w:p>
      <w:pPr>
        <w:pStyle w:val="ListBullet"/>
        <w:spacing w:after="60"/>
      </w:pPr>
      <w:r>
        <w:t>Pelaporan membutuhkan waktu dan sering bergantung pada individu tertentu.</w:t>
      </w:r>
    </w:p>
    <w:p>
      <w:pPr>
        <w:pStyle w:val="ListBullet"/>
        <w:spacing w:after="60"/>
      </w:pPr>
      <w:r>
        <w:t>Pemilik usaha sulit memperoleh gambaran cepat tentang revenue, cost, margin dan cash flow.</w:t>
      </w:r>
    </w:p>
    <w:p>
      <w:pPr>
        <w:pStyle w:val="ListBullet"/>
        <w:spacing w:after="60"/>
      </w:pPr>
      <w:r>
        <w:t>Penggunaan AI masih sebatas chatbot atau pembuatan konten, belum menjadi lapisan intelligence bagi operasi bisnis.</w:t>
      </w:r>
    </w:p>
    <w:p>
      <w:pPr>
        <w:pStyle w:val="ListBullet"/>
        <w:spacing w:after="60"/>
      </w:pPr>
      <w:r>
        <w:t>Tidak ada roadmap yang jelas untuk bergerak dari digital presence menuju automation dan Agentic AI.</w:t>
      </w:r>
    </w:p>
    <w:p>
      <w:pPr>
        <w:pStyle w:val="Heading1"/>
      </w:pPr>
      <w:r>
        <w:t>3. Arsitektur Solusi Program</w:t>
      </w:r>
    </w:p>
    <w:tbl>
      <w:tblPr>
        <w:tblStyle w:val="TableGrid"/>
        <w:tblW w:type="auto" w:w="0"/>
        <w:jc w:val="center"/>
        <w:tblLook w:firstColumn="1" w:firstRow="1" w:lastColumn="0" w:lastRow="0" w:noHBand="0" w:noVBand="1" w:val="04A0"/>
      </w:tblPr>
      <w:tblGrid>
        <w:gridCol w:w="4986"/>
        <w:gridCol w:w="4986"/>
      </w:tblGrid>
      <w:tr>
        <w:tc>
          <w:tcPr>
            <w:tcW w:type="dxa" w:w="4986"/>
            <w:shd w:fill="12395E"/>
          </w:tcPr>
          <w:p>
            <w:r/>
            <w:r>
              <w:rPr>
                <w:rFonts w:ascii="Aptos" w:hAnsi="Aptos"/>
                <w:b/>
                <w:color w:val="FFFFFF"/>
                <w:sz w:val="19"/>
              </w:rPr>
              <w:t>Komponen</w:t>
            </w:r>
          </w:p>
        </w:tc>
        <w:tc>
          <w:tcPr>
            <w:tcW w:type="dxa" w:w="4986"/>
            <w:shd w:fill="12395E"/>
          </w:tcPr>
          <w:p>
            <w:r/>
            <w:r>
              <w:rPr>
                <w:rFonts w:ascii="Aptos" w:hAnsi="Aptos"/>
                <w:b/>
                <w:color w:val="FFFFFF"/>
                <w:sz w:val="19"/>
              </w:rPr>
              <w:t>Fungsi Utama</w:t>
            </w:r>
          </w:p>
        </w:tc>
      </w:tr>
      <w:tr>
        <w:tc>
          <w:tcPr>
            <w:tcW w:type="dxa" w:w="4986"/>
          </w:tcPr>
          <w:p>
            <w:r/>
            <w:r>
              <w:rPr>
                <w:rFonts w:ascii="Aptos" w:hAnsi="Aptos"/>
                <w:b/>
                <w:color w:val="0C1E37"/>
                <w:sz w:val="19"/>
              </w:rPr>
              <w:t>Digital Foundation</w:t>
            </w:r>
          </w:p>
        </w:tc>
        <w:tc>
          <w:tcPr>
            <w:tcW w:type="dxa" w:w="4986"/>
          </w:tcPr>
          <w:p>
            <w:r/>
            <w:r>
              <w:rPr>
                <w:rFonts w:ascii="Aptos" w:hAnsi="Aptos"/>
                <w:b w:val="0"/>
                <w:color w:val="222222"/>
                <w:sz w:val="19"/>
              </w:rPr>
              <w:t>Website, domain/hosting, company profile, katalog produk, database dasar dan struktur data.</w:t>
            </w:r>
          </w:p>
        </w:tc>
      </w:tr>
      <w:tr>
        <w:tc>
          <w:tcPr>
            <w:tcW w:type="dxa" w:w="4986"/>
          </w:tcPr>
          <w:p>
            <w:r/>
            <w:r>
              <w:rPr>
                <w:rFonts w:ascii="Aptos" w:hAnsi="Aptos"/>
                <w:b/>
                <w:color w:val="0C1E37"/>
                <w:sz w:val="19"/>
              </w:rPr>
              <w:t>E-Commerce &amp; Business Application</w:t>
            </w:r>
          </w:p>
        </w:tc>
        <w:tc>
          <w:tcPr>
            <w:tcW w:type="dxa" w:w="4986"/>
          </w:tcPr>
          <w:p>
            <w:r/>
            <w:r>
              <w:rPr>
                <w:rFonts w:ascii="Aptos" w:hAnsi="Aptos"/>
                <w:b w:val="0"/>
                <w:color w:val="222222"/>
                <w:sz w:val="19"/>
              </w:rPr>
              <w:t>Product management, digital ordering, customer database, stock/workflow dan dashboard.</w:t>
            </w:r>
          </w:p>
        </w:tc>
      </w:tr>
      <w:tr>
        <w:tc>
          <w:tcPr>
            <w:tcW w:type="dxa" w:w="4986"/>
          </w:tcPr>
          <w:p>
            <w:r/>
            <w:r>
              <w:rPr>
                <w:rFonts w:ascii="Aptos" w:hAnsi="Aptos"/>
                <w:b/>
                <w:color w:val="0C1E37"/>
                <w:sz w:val="19"/>
              </w:rPr>
              <w:t>Digital Audit</w:t>
            </w:r>
          </w:p>
        </w:tc>
        <w:tc>
          <w:tcPr>
            <w:tcW w:type="dxa" w:w="4986"/>
          </w:tcPr>
          <w:p>
            <w:r/>
            <w:r>
              <w:rPr>
                <w:rFonts w:ascii="Aptos" w:hAnsi="Aptos"/>
                <w:b w:val="0"/>
                <w:color w:val="222222"/>
                <w:sz w:val="19"/>
              </w:rPr>
              <w:t>SEO, GEO/AI visibility, security, workflow, data readiness dan peluang automation.</w:t>
            </w:r>
          </w:p>
        </w:tc>
      </w:tr>
      <w:tr>
        <w:tc>
          <w:tcPr>
            <w:tcW w:type="dxa" w:w="4986"/>
          </w:tcPr>
          <w:p>
            <w:r/>
            <w:r>
              <w:rPr>
                <w:rFonts w:ascii="Aptos" w:hAnsi="Aptos"/>
                <w:b/>
                <w:color w:val="0C1E37"/>
                <w:sz w:val="19"/>
              </w:rPr>
              <w:t>Business Automation</w:t>
            </w:r>
          </w:p>
        </w:tc>
        <w:tc>
          <w:tcPr>
            <w:tcW w:type="dxa" w:w="4986"/>
          </w:tcPr>
          <w:p>
            <w:r/>
            <w:r>
              <w:rPr>
                <w:rFonts w:ascii="Aptos" w:hAnsi="Aptos"/>
                <w:b w:val="0"/>
                <w:color w:val="222222"/>
                <w:sz w:val="19"/>
              </w:rPr>
              <w:t>Mengurangi pekerjaan manual melalui trigger, workflow, reporting dan task automation.</w:t>
            </w:r>
          </w:p>
        </w:tc>
      </w:tr>
      <w:tr>
        <w:tc>
          <w:tcPr>
            <w:tcW w:type="dxa" w:w="4986"/>
          </w:tcPr>
          <w:p>
            <w:r/>
            <w:r>
              <w:rPr>
                <w:rFonts w:ascii="Aptos" w:hAnsi="Aptos"/>
                <w:b/>
                <w:color w:val="0C1E37"/>
                <w:sz w:val="19"/>
              </w:rPr>
              <w:t>Agentic AI</w:t>
            </w:r>
          </w:p>
        </w:tc>
        <w:tc>
          <w:tcPr>
            <w:tcW w:type="dxa" w:w="4986"/>
          </w:tcPr>
          <w:p>
            <w:r/>
            <w:r>
              <w:rPr>
                <w:rFonts w:ascii="Aptos" w:hAnsi="Aptos"/>
                <w:b w:val="0"/>
                <w:color w:val="222222"/>
                <w:sz w:val="19"/>
              </w:rPr>
              <w:t>AI Agent yang dapat membaca data/sistem, membantu customer enquiry, dokumen, reporting dan management intelligence.</w:t>
            </w:r>
          </w:p>
        </w:tc>
      </w:tr>
      <w:tr>
        <w:tc>
          <w:tcPr>
            <w:tcW w:type="dxa" w:w="4986"/>
          </w:tcPr>
          <w:p>
            <w:r/>
            <w:r>
              <w:rPr>
                <w:rFonts w:ascii="Aptos" w:hAnsi="Aptos"/>
                <w:b/>
                <w:color w:val="0C1E37"/>
                <w:sz w:val="19"/>
              </w:rPr>
              <w:t>Financial Visibility</w:t>
            </w:r>
          </w:p>
        </w:tc>
        <w:tc>
          <w:tcPr>
            <w:tcW w:type="dxa" w:w="4986"/>
          </w:tcPr>
          <w:p>
            <w:r/>
            <w:r>
              <w:rPr>
                <w:rFonts w:ascii="Aptos" w:hAnsi="Aptos"/>
                <w:b w:val="0"/>
                <w:color w:val="222222"/>
                <w:sz w:val="19"/>
              </w:rPr>
              <w:t>Mengubah data transaksi menjadi informasi yang lebih mudah dipahami pemilik usaha.</w:t>
            </w:r>
          </w:p>
        </w:tc>
      </w:tr>
    </w:tbl>
    <w:p/>
    <w:tbl>
      <w:tblPr>
        <w:tblW w:type="auto" w:w="0"/>
        <w:jc w:val="center"/>
        <w:tblLayout w:type="autofit"/>
        <w:tblLook w:firstColumn="1" w:firstRow="1" w:lastColumn="0" w:lastRow="0" w:noHBand="0" w:noVBand="1" w:val="04A0"/>
      </w:tblPr>
      <w:tblGrid>
        <w:gridCol w:w="9972"/>
      </w:tblGrid>
      <w:tr>
        <w:tc>
          <w:tcPr>
            <w:tcW w:type="dxa" w:w="9972"/>
            <w:shd w:fill="0C1E37"/>
            <w:vAlign w:val="center"/>
          </w:tcPr>
          <w:p>
            <w:pPr>
              <w:jc w:val="center"/>
            </w:pPr>
            <w:r/>
            <w:r>
              <w:rPr>
                <w:rFonts w:ascii="Aptos" w:hAnsi="Aptos"/>
                <w:b/>
                <w:color w:val="FFFFFF"/>
                <w:sz w:val="22"/>
              </w:rPr>
              <w:t>DIGITAL PRESENCE  →  BUSINESS SYSTEM  →  AUTOMATION  →  AGENTIC AI</w:t>
            </w:r>
          </w:p>
        </w:tc>
      </w:tr>
    </w:tbl>
    <w:p>
      <w:pPr>
        <w:spacing w:after="40"/>
      </w:pPr>
    </w:p>
    <w:p>
      <w:pPr>
        <w:pStyle w:val="Heading1"/>
      </w:pPr>
      <w:r>
        <w:t>4. Struktur Program 11 Hari</w:t>
      </w:r>
    </w:p>
    <w:p>
      <w:r>
        <w:rPr>
          <w:b/>
          <w:color w:val="12395E"/>
          <w:sz w:val="24"/>
        </w:rPr>
        <w:t>Hari 1–3 — Website &amp; Digital Foundation</w:t>
      </w:r>
    </w:p>
    <w:p>
      <w:pPr>
        <w:pStyle w:val="ListBullet"/>
        <w:spacing w:after="60"/>
      </w:pPr>
      <w:r>
        <w:t>Website bisnis dan company profile</w:t>
      </w:r>
    </w:p>
    <w:p>
      <w:pPr>
        <w:pStyle w:val="ListBullet"/>
        <w:spacing w:after="60"/>
      </w:pPr>
      <w:r>
        <w:t>Domain/hosting dan deployment</w:t>
      </w:r>
    </w:p>
    <w:p>
      <w:pPr>
        <w:pStyle w:val="ListBullet"/>
        <w:spacing w:after="60"/>
      </w:pPr>
      <w:r>
        <w:t>Katalog produk atau layanan</w:t>
      </w:r>
    </w:p>
    <w:p>
      <w:pPr>
        <w:pStyle w:val="ListBullet"/>
        <w:spacing w:after="60"/>
      </w:pPr>
      <w:r>
        <w:t>Database dasar</w:t>
      </w:r>
    </w:p>
    <w:p>
      <w:pPr>
        <w:pStyle w:val="ListBullet"/>
        <w:spacing w:after="60"/>
      </w:pPr>
      <w:r>
        <w:t>Struktur digital branding</w:t>
      </w:r>
    </w:p>
    <w:p>
      <w:r>
        <w:rPr>
          <w:b/>
          <w:color w:val="12395E"/>
          <w:sz w:val="24"/>
        </w:rPr>
        <w:t>Hari 4–6 — E-Commerce &amp; Business Application</w:t>
      </w:r>
    </w:p>
    <w:p>
      <w:pPr>
        <w:pStyle w:val="ListBullet"/>
        <w:spacing w:after="60"/>
      </w:pPr>
      <w:r>
        <w:t>Product/customer management</w:t>
      </w:r>
    </w:p>
    <w:p>
      <w:pPr>
        <w:pStyle w:val="ListBullet"/>
        <w:spacing w:after="60"/>
      </w:pPr>
      <w:r>
        <w:t>Digital ordering</w:t>
      </w:r>
    </w:p>
    <w:p>
      <w:pPr>
        <w:pStyle w:val="ListBullet"/>
        <w:spacing w:after="60"/>
      </w:pPr>
      <w:r>
        <w:t>Stock/workflow dasar</w:t>
      </w:r>
    </w:p>
    <w:p>
      <w:pPr>
        <w:pStyle w:val="ListBullet"/>
        <w:spacing w:after="60"/>
      </w:pPr>
      <w:r>
        <w:t>Dashboard operasional</w:t>
      </w:r>
    </w:p>
    <w:p>
      <w:pPr>
        <w:pStyle w:val="ListBullet"/>
        <w:spacing w:after="60"/>
      </w:pPr>
      <w:r>
        <w:t>Business process mapping</w:t>
      </w:r>
    </w:p>
    <w:p>
      <w:r>
        <w:rPr>
          <w:b/>
          <w:color w:val="12395E"/>
          <w:sz w:val="24"/>
        </w:rPr>
        <w:t>Hari 7 — Digital, SEO, GEO, Security &amp; AI Audit</w:t>
      </w:r>
    </w:p>
    <w:p>
      <w:pPr>
        <w:pStyle w:val="ListBullet"/>
        <w:spacing w:after="60"/>
      </w:pPr>
      <w:r>
        <w:t>Search visibility</w:t>
      </w:r>
    </w:p>
    <w:p>
      <w:pPr>
        <w:pStyle w:val="ListBullet"/>
        <w:spacing w:after="60"/>
      </w:pPr>
      <w:r>
        <w:t>AI/GEO visibility</w:t>
      </w:r>
    </w:p>
    <w:p>
      <w:pPr>
        <w:pStyle w:val="ListBullet"/>
        <w:spacing w:after="60"/>
      </w:pPr>
      <w:r>
        <w:t>Security baseline</w:t>
      </w:r>
    </w:p>
    <w:p>
      <w:pPr>
        <w:pStyle w:val="ListBullet"/>
        <w:spacing w:after="60"/>
      </w:pPr>
      <w:r>
        <w:t>Data readiness</w:t>
      </w:r>
    </w:p>
    <w:p>
      <w:pPr>
        <w:pStyle w:val="ListBullet"/>
        <w:spacing w:after="60"/>
      </w:pPr>
      <w:r>
        <w:t>Automation opportunity mapping</w:t>
      </w:r>
    </w:p>
    <w:p>
      <w:r>
        <w:rPr>
          <w:b/>
          <w:color w:val="12395E"/>
          <w:sz w:val="24"/>
        </w:rPr>
        <w:t>Hari 8–10 — Business System, Automation &amp; Agentic AI</w:t>
      </w:r>
    </w:p>
    <w:p>
      <w:pPr>
        <w:pStyle w:val="ListBullet"/>
        <w:spacing w:after="60"/>
      </w:pPr>
      <w:r>
        <w:t>AI-assisted operation</w:t>
      </w:r>
    </w:p>
    <w:p>
      <w:pPr>
        <w:pStyle w:val="ListBullet"/>
        <w:spacing w:after="60"/>
      </w:pPr>
      <w:r>
        <w:t>Reporting automation</w:t>
      </w:r>
    </w:p>
    <w:p>
      <w:pPr>
        <w:pStyle w:val="ListBullet"/>
        <w:spacing w:after="60"/>
      </w:pPr>
      <w:r>
        <w:t>Document processing</w:t>
      </w:r>
    </w:p>
    <w:p>
      <w:pPr>
        <w:pStyle w:val="ListBullet"/>
        <w:spacing w:after="60"/>
      </w:pPr>
      <w:r>
        <w:t>Customer enquiry flow</w:t>
      </w:r>
    </w:p>
    <w:p>
      <w:pPr>
        <w:pStyle w:val="ListBullet"/>
        <w:spacing w:after="60"/>
      </w:pPr>
      <w:r>
        <w:t>Task/stock monitoring</w:t>
      </w:r>
    </w:p>
    <w:p>
      <w:pPr>
        <w:pStyle w:val="ListBullet"/>
        <w:spacing w:after="60"/>
      </w:pPr>
      <w:r>
        <w:t>Minimum satu AI use case</w:t>
      </w:r>
    </w:p>
    <w:p>
      <w:r>
        <w:rPr>
          <w:b/>
          <w:color w:val="12395E"/>
          <w:sz w:val="24"/>
        </w:rPr>
        <w:t>Hari 11 — Demo Day &amp; 90-Day Roadmap</w:t>
      </w:r>
    </w:p>
    <w:p>
      <w:pPr>
        <w:pStyle w:val="ListBullet"/>
        <w:spacing w:after="60"/>
      </w:pPr>
      <w:r>
        <w:t>Presentasi sistem yang dibangun</w:t>
      </w:r>
    </w:p>
    <w:p>
      <w:pPr>
        <w:pStyle w:val="ListBullet"/>
        <w:spacing w:after="60"/>
      </w:pPr>
      <w:r>
        <w:t>Before/after workflow</w:t>
      </w:r>
    </w:p>
    <w:p>
      <w:pPr>
        <w:pStyle w:val="ListBullet"/>
        <w:spacing w:after="60"/>
      </w:pPr>
      <w:r>
        <w:t>AI use case</w:t>
      </w:r>
    </w:p>
    <w:p>
      <w:pPr>
        <w:pStyle w:val="ListBullet"/>
        <w:spacing w:after="60"/>
      </w:pPr>
      <w:r>
        <w:t>Implementation plan</w:t>
      </w:r>
    </w:p>
    <w:p>
      <w:pPr>
        <w:pStyle w:val="ListBullet"/>
        <w:spacing w:after="60"/>
      </w:pPr>
      <w:r>
        <w:t>90-day adoption roadmap</w:t>
      </w:r>
    </w:p>
    <w:p>
      <w:pPr>
        <w:pStyle w:val="Heading1"/>
      </w:pPr>
      <w:r>
        <w:t>5. Output Per UMKM</w:t>
      </w:r>
    </w:p>
    <w:p>
      <w:pPr>
        <w:pStyle w:val="ListBullet"/>
        <w:spacing w:after="60"/>
      </w:pPr>
      <w:r>
        <w:t>Website bisnis aktif dan digital company profile.</w:t>
      </w:r>
    </w:p>
    <w:p>
      <w:pPr>
        <w:pStyle w:val="ListBullet"/>
        <w:spacing w:after="60"/>
      </w:pPr>
      <w:r>
        <w:t>Domain dan hosting/infrastructure awal.</w:t>
      </w:r>
    </w:p>
    <w:p>
      <w:pPr>
        <w:pStyle w:val="ListBullet"/>
        <w:spacing w:after="60"/>
      </w:pPr>
      <w:r>
        <w:t>Katalog produk atau layanan.</w:t>
      </w:r>
    </w:p>
    <w:p>
      <w:pPr>
        <w:pStyle w:val="ListBullet"/>
        <w:spacing w:after="60"/>
      </w:pPr>
      <w:r>
        <w:t>Basic e-commerce atau digital ordering flow.</w:t>
      </w:r>
    </w:p>
    <w:p>
      <w:pPr>
        <w:pStyle w:val="ListBullet"/>
        <w:spacing w:after="60"/>
      </w:pPr>
      <w:r>
        <w:t>Customer database dan struktur data dasar.</w:t>
      </w:r>
    </w:p>
    <w:p>
      <w:pPr>
        <w:pStyle w:val="ListBullet"/>
        <w:spacing w:after="60"/>
      </w:pPr>
      <w:r>
        <w:t>Business dashboard untuk monitoring.</w:t>
      </w:r>
    </w:p>
    <w:p>
      <w:pPr>
        <w:pStyle w:val="ListBullet"/>
        <w:spacing w:after="60"/>
      </w:pPr>
      <w:r>
        <w:t>Workflow digital untuk operasi utama.</w:t>
      </w:r>
    </w:p>
    <w:p>
      <w:pPr>
        <w:pStyle w:val="ListBullet"/>
        <w:spacing w:after="60"/>
      </w:pPr>
      <w:r>
        <w:t>Minimum satu automation yang relevan.</w:t>
      </w:r>
    </w:p>
    <w:p>
      <w:pPr>
        <w:pStyle w:val="ListBullet"/>
        <w:spacing w:after="60"/>
      </w:pPr>
      <w:r>
        <w:t>Minimum satu Agentic AI / AI-assisted use case.</w:t>
      </w:r>
    </w:p>
    <w:p>
      <w:pPr>
        <w:pStyle w:val="ListBullet"/>
        <w:spacing w:after="60"/>
      </w:pPr>
      <w:r>
        <w:t>Digital audit report dan improvement list.</w:t>
      </w:r>
    </w:p>
    <w:p>
      <w:pPr>
        <w:pStyle w:val="ListBullet"/>
        <w:spacing w:after="60"/>
      </w:pPr>
      <w:r>
        <w:t>Financial visibility module sesuai kesiapan data.</w:t>
      </w:r>
    </w:p>
    <w:p>
      <w:pPr>
        <w:pStyle w:val="ListBullet"/>
        <w:spacing w:after="60"/>
      </w:pPr>
      <w:r>
        <w:t>90-day digital implementation roadmap.</w:t>
      </w:r>
    </w:p>
    <w:p>
      <w:pPr>
        <w:pStyle w:val="Heading1"/>
      </w:pPr>
      <w:r>
        <w:t>6. Agentic AI sebagai Lapisan Operasional</w:t>
      </w:r>
    </w:p>
    <w:p>
      <w:r>
        <w:t>AINNA memposisikan Agentic AI bukan sekadar chatbot, tetapi sebagai digital assistant yang bekerja bersama sistem dan data bisnis.</w:t>
      </w:r>
    </w:p>
    <w:tbl>
      <w:tblPr>
        <w:tblW w:type="auto" w:w="0"/>
        <w:jc w:val="center"/>
        <w:tblLayout w:type="autofit"/>
        <w:tblLook w:firstColumn="1" w:firstRow="1" w:lastColumn="0" w:lastRow="0" w:noHBand="0" w:noVBand="1" w:val="04A0"/>
      </w:tblPr>
      <w:tblGrid>
        <w:gridCol w:w="9972"/>
      </w:tblGrid>
      <w:tr>
        <w:tc>
          <w:tcPr>
            <w:tcW w:type="dxa" w:w="9972"/>
            <w:shd w:fill="12395E"/>
            <w:vAlign w:val="center"/>
          </w:tcPr>
          <w:p>
            <w:pPr>
              <w:jc w:val="center"/>
            </w:pPr>
            <w:r/>
            <w:r>
              <w:rPr>
                <w:rFonts w:ascii="Aptos" w:hAnsi="Aptos"/>
                <w:b/>
                <w:color w:val="FFFFFF"/>
                <w:sz w:val="22"/>
              </w:rPr>
              <w:t>HUMAN  +  SYSTEM  +  AI AGENT</w:t>
            </w:r>
          </w:p>
        </w:tc>
      </w:tr>
    </w:tbl>
    <w:p>
      <w:pPr>
        <w:spacing w:after="40"/>
      </w:pPr>
    </w:p>
    <w:p>
      <w:r>
        <w:t>Contoh alur penggunaan:</w:t>
      </w:r>
    </w:p>
    <w:p>
      <w:pPr>
        <w:pStyle w:val="ListBullet"/>
        <w:spacing w:after="60"/>
      </w:pPr>
      <w:r>
        <w:t>Customer bertanya → AI mencari data produk → sistem memeriksa informasi → AI menyiapkan respons.</w:t>
      </w:r>
    </w:p>
    <w:p>
      <w:pPr>
        <w:pStyle w:val="ListBullet"/>
        <w:spacing w:after="60"/>
      </w:pPr>
      <w:r>
        <w:t>Management meminta laporan → AI membaca data → AI merangkum → dashboard diperbarui → management menerima insight.</w:t>
      </w:r>
    </w:p>
    <w:p>
      <w:pPr>
        <w:pStyle w:val="ListBullet"/>
        <w:spacing w:after="60"/>
      </w:pPr>
      <w:r>
        <w:t>Dokumen masuk → AI membantu mengekstrak data → workflow membuat task → staff melakukan verification.</w:t>
      </w:r>
    </w:p>
    <w:p>
      <w:pPr>
        <w:pStyle w:val="ListBullet"/>
        <w:spacing w:after="60"/>
      </w:pPr>
      <w:r>
        <w:t>Stock atau task bermasalah → sistem mendeteksi → AI membuat summary → supervisor melakukan tindakan.</w:t>
      </w:r>
    </w:p>
    <w:p>
      <w:r>
        <w:t>Prinsipnya: AI membantu mempercepat operasi dan keputusan, sementara manusia tetap berada pada tahap verification, approval dan governance yang diperlukan.</w:t>
      </w:r>
    </w:p>
    <w:p>
      <w:pPr>
        <w:pStyle w:val="Heading1"/>
      </w:pPr>
      <w:r>
        <w:t>7. Digitalisasi dan Visibilitas Keuangan</w:t>
      </w:r>
    </w:p>
    <w:p>
      <w:r>
        <w:t>Untuk UMKM yang memiliki data transaksi atau bank statement, program dapat diperluas ke workflow financial visibility:</w:t>
      </w:r>
    </w:p>
    <w:tbl>
      <w:tblPr>
        <w:tblW w:type="auto" w:w="0"/>
        <w:jc w:val="center"/>
        <w:tblLayout w:type="autofit"/>
        <w:tblLook w:firstColumn="1" w:firstRow="1" w:lastColumn="0" w:lastRow="0" w:noHBand="0" w:noVBand="1" w:val="04A0"/>
      </w:tblPr>
      <w:tblGrid>
        <w:gridCol w:w="9972"/>
      </w:tblGrid>
      <w:tr>
        <w:tc>
          <w:tcPr>
            <w:tcW w:type="dxa" w:w="9972"/>
            <w:shd w:fill="2E7D60"/>
            <w:vAlign w:val="center"/>
          </w:tcPr>
          <w:p>
            <w:pPr>
              <w:jc w:val="center"/>
            </w:pPr>
            <w:r/>
            <w:r>
              <w:rPr>
                <w:rFonts w:ascii="Aptos" w:hAnsi="Aptos"/>
                <w:b/>
                <w:color w:val="FFFFFF"/>
                <w:sz w:val="22"/>
              </w:rPr>
              <w:t>BANK STATEMENT  →  CLASSIFICATION  →  P&amp;L  →  BALANCE SHEET  →  FINANCIAL REPORT  →  DASHBOARD</w:t>
            </w:r>
          </w:p>
        </w:tc>
      </w:tr>
    </w:tbl>
    <w:p>
      <w:pPr>
        <w:spacing w:after="40"/>
      </w:pPr>
    </w:p>
    <w:p>
      <w:pPr>
        <w:pStyle w:val="ListBullet"/>
        <w:spacing w:after="60"/>
      </w:pPr>
      <w:r>
        <w:t>Memahami revenue dan expenses dengan lebih cepat.</w:t>
      </w:r>
    </w:p>
    <w:p>
      <w:pPr>
        <w:pStyle w:val="ListBullet"/>
        <w:spacing w:after="60"/>
      </w:pPr>
      <w:r>
        <w:t>Melihat profitability dan trend operasional.</w:t>
      </w:r>
    </w:p>
    <w:p>
      <w:pPr>
        <w:pStyle w:val="ListBullet"/>
        <w:spacing w:after="60"/>
      </w:pPr>
      <w:r>
        <w:t>Meningkatkan financial discipline dan dokumentasi.</w:t>
      </w:r>
    </w:p>
    <w:p>
      <w:pPr>
        <w:pStyle w:val="ListBullet"/>
        <w:spacing w:after="60"/>
      </w:pPr>
      <w:r>
        <w:t>Mempermudah penyediaan informasi untuk pembiayaan, konsultasi atau accountant.</w:t>
      </w:r>
    </w:p>
    <w:p>
      <w:pPr>
        <w:pStyle w:val="ListBullet"/>
        <w:spacing w:after="60"/>
      </w:pPr>
      <w:r>
        <w:t>Memberikan management view tanpa menggantikan fungsi profesional akuntansi atau audit.</w:t>
      </w:r>
    </w:p>
    <w:p>
      <w:pPr>
        <w:pStyle w:val="Heading1"/>
      </w:pPr>
      <w:r>
        <w:t>8. Pengembangan KADIN Dumai Digital Ecosystem</w:t>
      </w:r>
    </w:p>
    <w:p>
      <w:r>
        <w:t>Setelah pilot menghasilkan bukti penggunaan dan data adopsi, program dapat berkembang dari capability building menjadi ekosistem digital yang lebih luas.</w:t>
      </w:r>
    </w:p>
    <w:p>
      <w:pPr>
        <w:pStyle w:val="Heading2"/>
      </w:pPr>
      <w:r>
        <w:t>8.1 KADIN Digital Platform</w:t>
      </w:r>
    </w:p>
    <w:p>
      <w:pPr>
        <w:pStyle w:val="ListBullet"/>
        <w:spacing w:after="60"/>
      </w:pPr>
      <w:r>
        <w:t>Member database</w:t>
      </w:r>
    </w:p>
    <w:p>
      <w:pPr>
        <w:pStyle w:val="ListBullet"/>
        <w:spacing w:after="60"/>
      </w:pPr>
      <w:r>
        <w:t>Business directory</w:t>
      </w:r>
    </w:p>
    <w:p>
      <w:pPr>
        <w:pStyle w:val="ListBullet"/>
        <w:spacing w:after="60"/>
      </w:pPr>
      <w:r>
        <w:t>Programme management</w:t>
      </w:r>
    </w:p>
    <w:p>
      <w:pPr>
        <w:pStyle w:val="ListBullet"/>
        <w:spacing w:after="60"/>
      </w:pPr>
      <w:r>
        <w:t>Event management</w:t>
      </w:r>
    </w:p>
    <w:p>
      <w:pPr>
        <w:pStyle w:val="ListBullet"/>
        <w:spacing w:after="60"/>
      </w:pPr>
      <w:r>
        <w:t>Document repository</w:t>
      </w:r>
    </w:p>
    <w:p>
      <w:pPr>
        <w:pStyle w:val="ListBullet"/>
        <w:spacing w:after="60"/>
      </w:pPr>
      <w:r>
        <w:t>Member dashboard</w:t>
      </w:r>
    </w:p>
    <w:p>
      <w:pPr>
        <w:pStyle w:val="ListBullet"/>
        <w:spacing w:after="60"/>
      </w:pPr>
      <w:r>
        <w:t>Lead dan engagement tracking</w:t>
      </w:r>
    </w:p>
    <w:p>
      <w:pPr>
        <w:pStyle w:val="Heading2"/>
      </w:pPr>
      <w:r>
        <w:t>8.2 KADIN UMKM Marketplace / Directory</w:t>
      </w:r>
    </w:p>
    <w:p>
      <w:pPr>
        <w:pStyle w:val="ListBullet"/>
        <w:spacing w:after="60"/>
      </w:pPr>
      <w:r>
        <w:t>Profil UMKM</w:t>
      </w:r>
    </w:p>
    <w:p>
      <w:pPr>
        <w:pStyle w:val="ListBullet"/>
        <w:spacing w:after="60"/>
      </w:pPr>
      <w:r>
        <w:t>Katalog produk dan layanan</w:t>
      </w:r>
    </w:p>
    <w:p>
      <w:pPr>
        <w:pStyle w:val="ListBullet"/>
        <w:spacing w:after="60"/>
      </w:pPr>
      <w:r>
        <w:t>Category dan search</w:t>
      </w:r>
    </w:p>
    <w:p>
      <w:pPr>
        <w:pStyle w:val="ListBullet"/>
        <w:spacing w:after="60"/>
      </w:pPr>
      <w:r>
        <w:t>Supplier discovery</w:t>
      </w:r>
    </w:p>
    <w:p>
      <w:pPr>
        <w:pStyle w:val="ListBullet"/>
        <w:spacing w:after="60"/>
      </w:pPr>
      <w:r>
        <w:t>Enquiry dan lead generation</w:t>
      </w:r>
    </w:p>
    <w:p>
      <w:pPr>
        <w:pStyle w:val="ListBullet"/>
        <w:spacing w:after="60"/>
      </w:pPr>
      <w:r>
        <w:t>Potensi pengembangan ke B2B sourcing / RFQ</w:t>
      </w:r>
    </w:p>
    <w:p>
      <w:pPr>
        <w:pStyle w:val="Heading2"/>
      </w:pPr>
      <w:r>
        <w:t>8.3 Dumai AI Media Engine</w:t>
      </w:r>
    </w:p>
    <w:p>
      <w:pPr>
        <w:pStyle w:val="ListBullet"/>
        <w:spacing w:after="60"/>
      </w:pPr>
      <w:r>
        <w:t>AI-assisted article draft</w:t>
      </w:r>
    </w:p>
    <w:p>
      <w:pPr>
        <w:pStyle w:val="ListBullet"/>
        <w:spacing w:after="60"/>
      </w:pPr>
      <w:r>
        <w:t>UMKM stories</w:t>
      </w:r>
    </w:p>
    <w:p>
      <w:pPr>
        <w:pStyle w:val="ListBullet"/>
        <w:spacing w:after="60"/>
      </w:pPr>
      <w:r>
        <w:t>Product storytelling</w:t>
      </w:r>
    </w:p>
    <w:p>
      <w:pPr>
        <w:pStyle w:val="ListBullet"/>
        <w:spacing w:after="60"/>
      </w:pPr>
      <w:r>
        <w:t>Event coverage</w:t>
      </w:r>
    </w:p>
    <w:p>
      <w:pPr>
        <w:pStyle w:val="ListBullet"/>
        <w:spacing w:after="60"/>
      </w:pPr>
      <w:r>
        <w:t>Social media content</w:t>
      </w:r>
    </w:p>
    <w:p>
      <w:pPr>
        <w:pStyle w:val="ListBullet"/>
        <w:spacing w:after="60"/>
      </w:pPr>
      <w:r>
        <w:t>Newsletter</w:t>
      </w:r>
    </w:p>
    <w:p>
      <w:pPr>
        <w:pStyle w:val="ListBullet"/>
        <w:spacing w:after="60"/>
      </w:pPr>
      <w:r>
        <w:t>Human verification sebelum publish</w:t>
      </w:r>
    </w:p>
    <w:p>
      <w:pPr>
        <w:pStyle w:val="Heading2"/>
      </w:pPr>
      <w:r>
        <w:t>8.4 Agentic AI untuk KADIN</w:t>
      </w:r>
    </w:p>
    <w:p>
      <w:pPr>
        <w:pStyle w:val="ListBullet"/>
        <w:spacing w:after="60"/>
      </w:pPr>
      <w:r>
        <w:t>Member enquiry</w:t>
      </w:r>
    </w:p>
    <w:p>
      <w:pPr>
        <w:pStyle w:val="ListBullet"/>
        <w:spacing w:after="60"/>
      </w:pPr>
      <w:r>
        <w:t>Programme information</w:t>
      </w:r>
    </w:p>
    <w:p>
      <w:pPr>
        <w:pStyle w:val="ListBullet"/>
        <w:spacing w:after="60"/>
      </w:pPr>
      <w:r>
        <w:t>Internal knowledge retrieval</w:t>
      </w:r>
    </w:p>
    <w:p>
      <w:pPr>
        <w:pStyle w:val="ListBullet"/>
        <w:spacing w:after="60"/>
      </w:pPr>
      <w:r>
        <w:t>Document processing</w:t>
      </w:r>
    </w:p>
    <w:p>
      <w:pPr>
        <w:pStyle w:val="ListBullet"/>
        <w:spacing w:after="60"/>
      </w:pPr>
      <w:r>
        <w:t>Programme monitoring</w:t>
      </w:r>
    </w:p>
    <w:p>
      <w:pPr>
        <w:pStyle w:val="ListBullet"/>
        <w:spacing w:after="60"/>
      </w:pPr>
      <w:r>
        <w:t>Management reporting</w:t>
      </w:r>
    </w:p>
    <w:p>
      <w:pPr>
        <w:pStyle w:val="Heading1"/>
      </w:pPr>
      <w:r>
        <w:t>9. Model Pilot dan Implementasi</w:t>
      </w:r>
    </w:p>
    <w:tbl>
      <w:tblPr>
        <w:tblW w:type="auto" w:w="0"/>
        <w:jc w:val="center"/>
        <w:tblLayout w:type="autofit"/>
        <w:tblLook w:firstColumn="1" w:firstRow="1" w:lastColumn="0" w:lastRow="0" w:noHBand="0" w:noVBand="1" w:val="04A0"/>
      </w:tblPr>
      <w:tblGrid>
        <w:gridCol w:w="9972"/>
      </w:tblGrid>
      <w:tr>
        <w:tc>
          <w:tcPr>
            <w:tcW w:type="dxa" w:w="9972"/>
            <w:shd w:fill="0C1E37"/>
            <w:vAlign w:val="center"/>
          </w:tcPr>
          <w:p>
            <w:pPr>
              <w:jc w:val="center"/>
            </w:pPr>
            <w:r/>
            <w:r>
              <w:rPr>
                <w:rFonts w:ascii="Aptos" w:hAnsi="Aptos"/>
                <w:b/>
                <w:color w:val="FFFFFF"/>
                <w:sz w:val="22"/>
              </w:rPr>
              <w:t>PILOT  →  EVIDENCE  →  MoU/MoA  →  SCALE</w:t>
            </w:r>
          </w:p>
        </w:tc>
      </w:tr>
    </w:tbl>
    <w:p>
      <w:pPr>
        <w:spacing w:after="40"/>
      </w:pPr>
    </w:p>
    <w:tbl>
      <w:tblPr>
        <w:tblStyle w:val="TableGrid"/>
        <w:tblW w:type="auto" w:w="0"/>
        <w:jc w:val="center"/>
        <w:tblLook w:firstColumn="1" w:firstRow="1" w:lastColumn="0" w:lastRow="0" w:noHBand="0" w:noVBand="1" w:val="04A0"/>
      </w:tblPr>
      <w:tblGrid>
        <w:gridCol w:w="4986"/>
        <w:gridCol w:w="4986"/>
      </w:tblGrid>
      <w:tr>
        <w:tc>
          <w:tcPr>
            <w:tcW w:type="dxa" w:w="4986"/>
            <w:shd w:fill="12395E"/>
          </w:tcPr>
          <w:p>
            <w:r/>
            <w:r>
              <w:rPr>
                <w:rFonts w:ascii="Aptos" w:hAnsi="Aptos"/>
                <w:b/>
                <w:color w:val="FFFFFF"/>
                <w:sz w:val="19"/>
              </w:rPr>
              <w:t>Tahap</w:t>
            </w:r>
          </w:p>
        </w:tc>
        <w:tc>
          <w:tcPr>
            <w:tcW w:type="dxa" w:w="4986"/>
            <w:shd w:fill="12395E"/>
          </w:tcPr>
          <w:p>
            <w:r/>
            <w:r>
              <w:rPr>
                <w:rFonts w:ascii="Aptos" w:hAnsi="Aptos"/>
                <w:b/>
                <w:color w:val="FFFFFF"/>
                <w:sz w:val="19"/>
              </w:rPr>
              <w:t>Deskripsi</w:t>
            </w:r>
          </w:p>
        </w:tc>
      </w:tr>
      <w:tr>
        <w:tc>
          <w:tcPr>
            <w:tcW w:type="dxa" w:w="4986"/>
          </w:tcPr>
          <w:p>
            <w:r/>
            <w:r>
              <w:rPr>
                <w:rFonts w:ascii="Aptos" w:hAnsi="Aptos"/>
                <w:b/>
                <w:color w:val="0C1E37"/>
                <w:sz w:val="18"/>
              </w:rPr>
              <w:t>1. Selection</w:t>
            </w:r>
          </w:p>
        </w:tc>
        <w:tc>
          <w:tcPr>
            <w:tcW w:type="dxa" w:w="4986"/>
          </w:tcPr>
          <w:p>
            <w:r/>
            <w:r>
              <w:rPr>
                <w:rFonts w:ascii="Aptos" w:hAnsi="Aptos"/>
                <w:b w:val="0"/>
                <w:color w:val="222222"/>
                <w:sz w:val="18"/>
              </w:rPr>
              <w:t>KADIN memilih UMKM berdasarkan readiness, sektor dan potensi implementasi.</w:t>
            </w:r>
          </w:p>
        </w:tc>
      </w:tr>
      <w:tr>
        <w:tc>
          <w:tcPr>
            <w:tcW w:type="dxa" w:w="4986"/>
          </w:tcPr>
          <w:p>
            <w:r/>
            <w:r>
              <w:rPr>
                <w:rFonts w:ascii="Aptos" w:hAnsi="Aptos"/>
                <w:b/>
                <w:color w:val="0C1E37"/>
                <w:sz w:val="18"/>
              </w:rPr>
              <w:t>2. Baseline Assessment</w:t>
            </w:r>
          </w:p>
        </w:tc>
        <w:tc>
          <w:tcPr>
            <w:tcW w:type="dxa" w:w="4986"/>
          </w:tcPr>
          <w:p>
            <w:r/>
            <w:r>
              <w:rPr>
                <w:rFonts w:ascii="Aptos" w:hAnsi="Aptos"/>
                <w:b w:val="0"/>
                <w:color w:val="222222"/>
                <w:sz w:val="18"/>
              </w:rPr>
              <w:t>AINNA melakukan assessment awal sebelum program dimulai.</w:t>
            </w:r>
          </w:p>
        </w:tc>
      </w:tr>
      <w:tr>
        <w:tc>
          <w:tcPr>
            <w:tcW w:type="dxa" w:w="4986"/>
          </w:tcPr>
          <w:p>
            <w:r/>
            <w:r>
              <w:rPr>
                <w:rFonts w:ascii="Aptos" w:hAnsi="Aptos"/>
                <w:b/>
                <w:color w:val="0C1E37"/>
                <w:sz w:val="18"/>
              </w:rPr>
              <w:t>3. 11-Day Build Programme</w:t>
            </w:r>
          </w:p>
        </w:tc>
        <w:tc>
          <w:tcPr>
            <w:tcW w:type="dxa" w:w="4986"/>
          </w:tcPr>
          <w:p>
            <w:r/>
            <w:r>
              <w:rPr>
                <w:rFonts w:ascii="Aptos" w:hAnsi="Aptos"/>
                <w:b w:val="0"/>
                <w:color w:val="222222"/>
                <w:sz w:val="18"/>
              </w:rPr>
              <w:t>Training, building dan implementation dilakukan dalam satu program terstruktur.</w:t>
            </w:r>
          </w:p>
        </w:tc>
      </w:tr>
      <w:tr>
        <w:tc>
          <w:tcPr>
            <w:tcW w:type="dxa" w:w="4986"/>
          </w:tcPr>
          <w:p>
            <w:r/>
            <w:r>
              <w:rPr>
                <w:rFonts w:ascii="Aptos" w:hAnsi="Aptos"/>
                <w:b/>
                <w:color w:val="0C1E37"/>
                <w:sz w:val="18"/>
              </w:rPr>
              <w:t>4. Demo Day</w:t>
            </w:r>
          </w:p>
        </w:tc>
        <w:tc>
          <w:tcPr>
            <w:tcW w:type="dxa" w:w="4986"/>
          </w:tcPr>
          <w:p>
            <w:r/>
            <w:r>
              <w:rPr>
                <w:rFonts w:ascii="Aptos" w:hAnsi="Aptos"/>
                <w:b w:val="0"/>
                <w:color w:val="222222"/>
                <w:sz w:val="18"/>
              </w:rPr>
              <w:t>Peserta memperlihatkan sistem, workflow dan use case yang telah dibangun.</w:t>
            </w:r>
          </w:p>
        </w:tc>
      </w:tr>
      <w:tr>
        <w:tc>
          <w:tcPr>
            <w:tcW w:type="dxa" w:w="4986"/>
          </w:tcPr>
          <w:p>
            <w:r/>
            <w:r>
              <w:rPr>
                <w:rFonts w:ascii="Aptos" w:hAnsi="Aptos"/>
                <w:b/>
                <w:color w:val="0C1E37"/>
                <w:sz w:val="18"/>
              </w:rPr>
              <w:t>5. 90-Day Monitoring</w:t>
            </w:r>
          </w:p>
        </w:tc>
        <w:tc>
          <w:tcPr>
            <w:tcW w:type="dxa" w:w="4986"/>
          </w:tcPr>
          <w:p>
            <w:r/>
            <w:r>
              <w:rPr>
                <w:rFonts w:ascii="Aptos" w:hAnsi="Aptos"/>
                <w:b w:val="0"/>
                <w:color w:val="222222"/>
                <w:sz w:val="18"/>
              </w:rPr>
              <w:t>Adoption, penggunaan, problem dan improvement dipantau.</w:t>
            </w:r>
          </w:p>
        </w:tc>
      </w:tr>
      <w:tr>
        <w:tc>
          <w:tcPr>
            <w:tcW w:type="dxa" w:w="4986"/>
          </w:tcPr>
          <w:p>
            <w:r/>
            <w:r>
              <w:rPr>
                <w:rFonts w:ascii="Aptos" w:hAnsi="Aptos"/>
                <w:b/>
                <w:color w:val="0C1E37"/>
                <w:sz w:val="18"/>
              </w:rPr>
              <w:t>6. Evaluation</w:t>
            </w:r>
          </w:p>
        </w:tc>
        <w:tc>
          <w:tcPr>
            <w:tcW w:type="dxa" w:w="4986"/>
          </w:tcPr>
          <w:p>
            <w:r/>
            <w:r>
              <w:rPr>
                <w:rFonts w:ascii="Aptos" w:hAnsi="Aptos"/>
                <w:b w:val="0"/>
                <w:color w:val="222222"/>
                <w:sz w:val="18"/>
              </w:rPr>
              <w:t>AINNA dan KADIN mengevaluasi evidence dan outcome.</w:t>
            </w:r>
          </w:p>
        </w:tc>
      </w:tr>
      <w:tr>
        <w:tc>
          <w:tcPr>
            <w:tcW w:type="dxa" w:w="4986"/>
          </w:tcPr>
          <w:p>
            <w:r/>
            <w:r>
              <w:rPr>
                <w:rFonts w:ascii="Aptos" w:hAnsi="Aptos"/>
                <w:b/>
                <w:color w:val="0C1E37"/>
                <w:sz w:val="18"/>
              </w:rPr>
              <w:t>7. Scale-Up</w:t>
            </w:r>
          </w:p>
        </w:tc>
        <w:tc>
          <w:tcPr>
            <w:tcW w:type="dxa" w:w="4986"/>
          </w:tcPr>
          <w:p>
            <w:r/>
            <w:r>
              <w:rPr>
                <w:rFonts w:ascii="Aptos" w:hAnsi="Aptos"/>
                <w:b w:val="0"/>
                <w:color w:val="222222"/>
                <w:sz w:val="18"/>
              </w:rPr>
              <w:t>Program diperluas berdasarkan sektor, cohort atau kebutuhan institutional.</w:t>
            </w:r>
          </w:p>
        </w:tc>
      </w:tr>
    </w:tbl>
    <w:p>
      <w:pPr>
        <w:pStyle w:val="Heading1"/>
      </w:pPr>
      <w:r>
        <w:t>10. KPI dan Measurement</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12395E"/>
          </w:tcPr>
          <w:p>
            <w:r/>
            <w:r>
              <w:rPr>
                <w:rFonts w:ascii="Aptos" w:hAnsi="Aptos"/>
                <w:b/>
                <w:color w:val="FFFFFF"/>
                <w:sz w:val="18"/>
              </w:rPr>
              <w:t>Area</w:t>
            </w:r>
          </w:p>
        </w:tc>
        <w:tc>
          <w:tcPr>
            <w:tcW w:type="dxa" w:w="3324"/>
            <w:shd w:fill="12395E"/>
          </w:tcPr>
          <w:p>
            <w:r/>
            <w:r>
              <w:rPr>
                <w:rFonts w:ascii="Aptos" w:hAnsi="Aptos"/>
                <w:b/>
                <w:color w:val="FFFFFF"/>
                <w:sz w:val="18"/>
              </w:rPr>
              <w:t>Indikator</w:t>
            </w:r>
          </w:p>
        </w:tc>
        <w:tc>
          <w:tcPr>
            <w:tcW w:type="dxa" w:w="3324"/>
            <w:shd w:fill="12395E"/>
          </w:tcPr>
          <w:p>
            <w:r/>
            <w:r>
              <w:rPr>
                <w:rFonts w:ascii="Aptos" w:hAnsi="Aptos"/>
                <w:b/>
                <w:color w:val="FFFFFF"/>
                <w:sz w:val="18"/>
              </w:rPr>
              <w:t>Target Pilot</w:t>
            </w:r>
          </w:p>
        </w:tc>
      </w:tr>
      <w:tr>
        <w:tc>
          <w:tcPr>
            <w:tcW w:type="dxa" w:w="3324"/>
          </w:tcPr>
          <w:p>
            <w:r/>
            <w:r>
              <w:rPr>
                <w:rFonts w:ascii="Aptos" w:hAnsi="Aptos"/>
                <w:b w:val="0"/>
                <w:color w:val="222222"/>
                <w:sz w:val="18"/>
              </w:rPr>
              <w:t>Digital Asset</w:t>
            </w:r>
          </w:p>
        </w:tc>
        <w:tc>
          <w:tcPr>
            <w:tcW w:type="dxa" w:w="3324"/>
          </w:tcPr>
          <w:p>
            <w:r/>
            <w:r>
              <w:rPr>
                <w:rFonts w:ascii="Aptos" w:hAnsi="Aptos"/>
                <w:b w:val="0"/>
                <w:color w:val="222222"/>
                <w:sz w:val="18"/>
              </w:rPr>
              <w:t>Website aktif / digital profile</w:t>
            </w:r>
          </w:p>
        </w:tc>
        <w:tc>
          <w:tcPr>
            <w:tcW w:type="dxa" w:w="3324"/>
          </w:tcPr>
          <w:p>
            <w:r/>
            <w:r>
              <w:rPr>
                <w:rFonts w:ascii="Aptos" w:hAnsi="Aptos"/>
                <w:b w:val="0"/>
                <w:color w:val="222222"/>
                <w:sz w:val="18"/>
              </w:rPr>
              <w:t>≥ 80% peserta</w:t>
            </w:r>
          </w:p>
        </w:tc>
      </w:tr>
      <w:tr>
        <w:tc>
          <w:tcPr>
            <w:tcW w:type="dxa" w:w="3324"/>
          </w:tcPr>
          <w:p>
            <w:r/>
            <w:r>
              <w:rPr>
                <w:rFonts w:ascii="Aptos" w:hAnsi="Aptos"/>
                <w:b w:val="0"/>
                <w:color w:val="222222"/>
                <w:sz w:val="18"/>
              </w:rPr>
              <w:t>Data</w:t>
            </w:r>
          </w:p>
        </w:tc>
        <w:tc>
          <w:tcPr>
            <w:tcW w:type="dxa" w:w="3324"/>
          </w:tcPr>
          <w:p>
            <w:r/>
            <w:r>
              <w:rPr>
                <w:rFonts w:ascii="Aptos" w:hAnsi="Aptos"/>
                <w:b w:val="0"/>
                <w:color w:val="222222"/>
                <w:sz w:val="18"/>
              </w:rPr>
              <w:t>Customer/product data terstruktur</w:t>
            </w:r>
          </w:p>
        </w:tc>
        <w:tc>
          <w:tcPr>
            <w:tcW w:type="dxa" w:w="3324"/>
          </w:tcPr>
          <w:p>
            <w:r/>
            <w:r>
              <w:rPr>
                <w:rFonts w:ascii="Aptos" w:hAnsi="Aptos"/>
                <w:b w:val="0"/>
                <w:color w:val="222222"/>
                <w:sz w:val="18"/>
              </w:rPr>
              <w:t>≥ 80% peserta</w:t>
            </w:r>
          </w:p>
        </w:tc>
      </w:tr>
      <w:tr>
        <w:tc>
          <w:tcPr>
            <w:tcW w:type="dxa" w:w="3324"/>
          </w:tcPr>
          <w:p>
            <w:r/>
            <w:r>
              <w:rPr>
                <w:rFonts w:ascii="Aptos" w:hAnsi="Aptos"/>
                <w:b w:val="0"/>
                <w:color w:val="222222"/>
                <w:sz w:val="18"/>
              </w:rPr>
              <w:t>Automation</w:t>
            </w:r>
          </w:p>
        </w:tc>
        <w:tc>
          <w:tcPr>
            <w:tcW w:type="dxa" w:w="3324"/>
          </w:tcPr>
          <w:p>
            <w:r/>
            <w:r>
              <w:rPr>
                <w:rFonts w:ascii="Aptos" w:hAnsi="Aptos"/>
                <w:b w:val="0"/>
                <w:color w:val="222222"/>
                <w:sz w:val="18"/>
              </w:rPr>
              <w:t>Workflow automation diterapkan</w:t>
            </w:r>
          </w:p>
        </w:tc>
        <w:tc>
          <w:tcPr>
            <w:tcW w:type="dxa" w:w="3324"/>
          </w:tcPr>
          <w:p>
            <w:r/>
            <w:r>
              <w:rPr>
                <w:rFonts w:ascii="Aptos" w:hAnsi="Aptos"/>
                <w:b w:val="0"/>
                <w:color w:val="222222"/>
                <w:sz w:val="18"/>
              </w:rPr>
              <w:t>Min. 1 per UMKM</w:t>
            </w:r>
          </w:p>
        </w:tc>
      </w:tr>
      <w:tr>
        <w:tc>
          <w:tcPr>
            <w:tcW w:type="dxa" w:w="3324"/>
          </w:tcPr>
          <w:p>
            <w:r/>
            <w:r>
              <w:rPr>
                <w:rFonts w:ascii="Aptos" w:hAnsi="Aptos"/>
                <w:b w:val="0"/>
                <w:color w:val="222222"/>
                <w:sz w:val="18"/>
              </w:rPr>
              <w:t>AI</w:t>
            </w:r>
          </w:p>
        </w:tc>
        <w:tc>
          <w:tcPr>
            <w:tcW w:type="dxa" w:w="3324"/>
          </w:tcPr>
          <w:p>
            <w:r/>
            <w:r>
              <w:rPr>
                <w:rFonts w:ascii="Aptos" w:hAnsi="Aptos"/>
                <w:b w:val="0"/>
                <w:color w:val="222222"/>
                <w:sz w:val="18"/>
              </w:rPr>
              <w:t>AI use case digunakan</w:t>
            </w:r>
          </w:p>
        </w:tc>
        <w:tc>
          <w:tcPr>
            <w:tcW w:type="dxa" w:w="3324"/>
          </w:tcPr>
          <w:p>
            <w:r/>
            <w:r>
              <w:rPr>
                <w:rFonts w:ascii="Aptos" w:hAnsi="Aptos"/>
                <w:b w:val="0"/>
                <w:color w:val="222222"/>
                <w:sz w:val="18"/>
              </w:rPr>
              <w:t>Min. 1 per UMKM</w:t>
            </w:r>
          </w:p>
        </w:tc>
      </w:tr>
      <w:tr>
        <w:tc>
          <w:tcPr>
            <w:tcW w:type="dxa" w:w="3324"/>
          </w:tcPr>
          <w:p>
            <w:r/>
            <w:r>
              <w:rPr>
                <w:rFonts w:ascii="Aptos" w:hAnsi="Aptos"/>
                <w:b w:val="0"/>
                <w:color w:val="222222"/>
                <w:sz w:val="18"/>
              </w:rPr>
              <w:t>Adoption</w:t>
            </w:r>
          </w:p>
        </w:tc>
        <w:tc>
          <w:tcPr>
            <w:tcW w:type="dxa" w:w="3324"/>
          </w:tcPr>
          <w:p>
            <w:r/>
            <w:r>
              <w:rPr>
                <w:rFonts w:ascii="Aptos" w:hAnsi="Aptos"/>
                <w:b w:val="0"/>
                <w:color w:val="222222"/>
                <w:sz w:val="18"/>
              </w:rPr>
              <w:t>Penggunaan sistem setelah program</w:t>
            </w:r>
          </w:p>
        </w:tc>
        <w:tc>
          <w:tcPr>
            <w:tcW w:type="dxa" w:w="3324"/>
          </w:tcPr>
          <w:p>
            <w:r/>
            <w:r>
              <w:rPr>
                <w:rFonts w:ascii="Aptos" w:hAnsi="Aptos"/>
                <w:b w:val="0"/>
                <w:color w:val="222222"/>
                <w:sz w:val="18"/>
              </w:rPr>
              <w:t>Diukur Day 30/60/90</w:t>
            </w:r>
          </w:p>
        </w:tc>
      </w:tr>
      <w:tr>
        <w:tc>
          <w:tcPr>
            <w:tcW w:type="dxa" w:w="3324"/>
          </w:tcPr>
          <w:p>
            <w:r/>
            <w:r>
              <w:rPr>
                <w:rFonts w:ascii="Aptos" w:hAnsi="Aptos"/>
                <w:b w:val="0"/>
                <w:color w:val="222222"/>
                <w:sz w:val="18"/>
              </w:rPr>
              <w:t>Operation</w:t>
            </w:r>
          </w:p>
        </w:tc>
        <w:tc>
          <w:tcPr>
            <w:tcW w:type="dxa" w:w="3324"/>
          </w:tcPr>
          <w:p>
            <w:r/>
            <w:r>
              <w:rPr>
                <w:rFonts w:ascii="Aptos" w:hAnsi="Aptos"/>
                <w:b w:val="0"/>
                <w:color w:val="222222"/>
                <w:sz w:val="18"/>
              </w:rPr>
              <w:t>Pengurangan pekerjaan manual</w:t>
            </w:r>
          </w:p>
        </w:tc>
        <w:tc>
          <w:tcPr>
            <w:tcW w:type="dxa" w:w="3324"/>
          </w:tcPr>
          <w:p>
            <w:r/>
            <w:r>
              <w:rPr>
                <w:rFonts w:ascii="Aptos" w:hAnsi="Aptos"/>
                <w:b w:val="0"/>
                <w:color w:val="222222"/>
                <w:sz w:val="18"/>
              </w:rPr>
              <w:t>Before vs after</w:t>
            </w:r>
          </w:p>
        </w:tc>
      </w:tr>
      <w:tr>
        <w:tc>
          <w:tcPr>
            <w:tcW w:type="dxa" w:w="3324"/>
          </w:tcPr>
          <w:p>
            <w:r/>
            <w:r>
              <w:rPr>
                <w:rFonts w:ascii="Aptos" w:hAnsi="Aptos"/>
                <w:b w:val="0"/>
                <w:color w:val="222222"/>
                <w:sz w:val="18"/>
              </w:rPr>
              <w:t>Visibility</w:t>
            </w:r>
          </w:p>
        </w:tc>
        <w:tc>
          <w:tcPr>
            <w:tcW w:type="dxa" w:w="3324"/>
          </w:tcPr>
          <w:p>
            <w:r/>
            <w:r>
              <w:rPr>
                <w:rFonts w:ascii="Aptos" w:hAnsi="Aptos"/>
                <w:b w:val="0"/>
                <w:color w:val="222222"/>
                <w:sz w:val="18"/>
              </w:rPr>
              <w:t>Perubahan digital/search visibility</w:t>
            </w:r>
          </w:p>
        </w:tc>
        <w:tc>
          <w:tcPr>
            <w:tcW w:type="dxa" w:w="3324"/>
          </w:tcPr>
          <w:p>
            <w:r/>
            <w:r>
              <w:rPr>
                <w:rFonts w:ascii="Aptos" w:hAnsi="Aptos"/>
                <w:b w:val="0"/>
                <w:color w:val="222222"/>
                <w:sz w:val="18"/>
              </w:rPr>
              <w:t>Baseline vs post-program</w:t>
            </w:r>
          </w:p>
        </w:tc>
      </w:tr>
      <w:tr>
        <w:tc>
          <w:tcPr>
            <w:tcW w:type="dxa" w:w="3324"/>
          </w:tcPr>
          <w:p>
            <w:r/>
            <w:r>
              <w:rPr>
                <w:rFonts w:ascii="Aptos" w:hAnsi="Aptos"/>
                <w:b w:val="0"/>
                <w:color w:val="222222"/>
                <w:sz w:val="18"/>
              </w:rPr>
              <w:t>Finance</w:t>
            </w:r>
          </w:p>
        </w:tc>
        <w:tc>
          <w:tcPr>
            <w:tcW w:type="dxa" w:w="3324"/>
          </w:tcPr>
          <w:p>
            <w:r/>
            <w:r>
              <w:rPr>
                <w:rFonts w:ascii="Aptos" w:hAnsi="Aptos"/>
                <w:b w:val="0"/>
                <w:color w:val="222222"/>
                <w:sz w:val="18"/>
              </w:rPr>
              <w:t>Ketersediaan management view</w:t>
            </w:r>
          </w:p>
        </w:tc>
        <w:tc>
          <w:tcPr>
            <w:tcW w:type="dxa" w:w="3324"/>
          </w:tcPr>
          <w:p>
            <w:r/>
            <w:r>
              <w:rPr>
                <w:rFonts w:ascii="Aptos" w:hAnsi="Aptos"/>
                <w:b w:val="0"/>
                <w:color w:val="222222"/>
                <w:sz w:val="18"/>
              </w:rPr>
              <w:t>Sesuai kesiapan data</w:t>
            </w:r>
          </w:p>
        </w:tc>
      </w:tr>
      <w:tr>
        <w:tc>
          <w:tcPr>
            <w:tcW w:type="dxa" w:w="3324"/>
          </w:tcPr>
          <w:p>
            <w:r/>
            <w:r>
              <w:rPr>
                <w:rFonts w:ascii="Aptos" w:hAnsi="Aptos"/>
                <w:b w:val="0"/>
                <w:color w:val="222222"/>
                <w:sz w:val="18"/>
              </w:rPr>
              <w:t>Satisfaction</w:t>
            </w:r>
          </w:p>
        </w:tc>
        <w:tc>
          <w:tcPr>
            <w:tcW w:type="dxa" w:w="3324"/>
          </w:tcPr>
          <w:p>
            <w:r/>
            <w:r>
              <w:rPr>
                <w:rFonts w:ascii="Aptos" w:hAnsi="Aptos"/>
                <w:b w:val="0"/>
                <w:color w:val="222222"/>
                <w:sz w:val="18"/>
              </w:rPr>
              <w:t>Feedback peserta</w:t>
            </w:r>
          </w:p>
        </w:tc>
        <w:tc>
          <w:tcPr>
            <w:tcW w:type="dxa" w:w="3324"/>
          </w:tcPr>
          <w:p>
            <w:r/>
            <w:r>
              <w:rPr>
                <w:rFonts w:ascii="Aptos" w:hAnsi="Aptos"/>
                <w:b w:val="0"/>
                <w:color w:val="222222"/>
                <w:sz w:val="18"/>
              </w:rPr>
              <w:t>Survey pasca-program</w:t>
            </w:r>
          </w:p>
        </w:tc>
      </w:tr>
    </w:tbl>
    <w:p/>
    <w:p>
      <w:pPr>
        <w:pStyle w:val="Heading1"/>
      </w:pPr>
      <w:r>
        <w:t>11. Roadmap 12 Bulan</w:t>
      </w:r>
    </w:p>
    <w:tbl>
      <w:tblPr>
        <w:tblStyle w:val="TableGrid"/>
        <w:tblW w:type="auto" w:w="0"/>
        <w:jc w:val="center"/>
        <w:tblLook w:firstColumn="1" w:firstRow="1" w:lastColumn="0" w:lastRow="0" w:noHBand="0" w:noVBand="1" w:val="04A0"/>
      </w:tblPr>
      <w:tblGrid>
        <w:gridCol w:w="4986"/>
        <w:gridCol w:w="4986"/>
      </w:tblGrid>
      <w:tr>
        <w:tc>
          <w:tcPr>
            <w:tcW w:type="dxa" w:w="4986"/>
            <w:shd w:fill="12395E"/>
          </w:tcPr>
          <w:p>
            <w:r/>
            <w:r>
              <w:rPr>
                <w:rFonts w:ascii="Aptos" w:hAnsi="Aptos"/>
                <w:b/>
                <w:color w:val="FFFFFF"/>
                <w:sz w:val="19"/>
              </w:rPr>
              <w:t>Periode</w:t>
            </w:r>
          </w:p>
        </w:tc>
        <w:tc>
          <w:tcPr>
            <w:tcW w:type="dxa" w:w="4986"/>
            <w:shd w:fill="12395E"/>
          </w:tcPr>
          <w:p>
            <w:r/>
            <w:r>
              <w:rPr>
                <w:rFonts w:ascii="Aptos" w:hAnsi="Aptos"/>
                <w:b/>
                <w:color w:val="FFFFFF"/>
                <w:sz w:val="19"/>
              </w:rPr>
              <w:t>Fokus</w:t>
            </w:r>
          </w:p>
        </w:tc>
      </w:tr>
      <w:tr>
        <w:tc>
          <w:tcPr>
            <w:tcW w:type="dxa" w:w="4986"/>
          </w:tcPr>
          <w:p>
            <w:r/>
            <w:r>
              <w:rPr>
                <w:rFonts w:ascii="Aptos" w:hAnsi="Aptos"/>
                <w:b/>
                <w:color w:val="0C1E37"/>
                <w:sz w:val="18"/>
              </w:rPr>
              <w:t>Bulan 1</w:t>
            </w:r>
          </w:p>
        </w:tc>
        <w:tc>
          <w:tcPr>
            <w:tcW w:type="dxa" w:w="4986"/>
          </w:tcPr>
          <w:p>
            <w:r/>
            <w:r>
              <w:rPr>
                <w:rFonts w:ascii="Aptos" w:hAnsi="Aptos"/>
                <w:b w:val="0"/>
                <w:color w:val="222222"/>
                <w:sz w:val="18"/>
              </w:rPr>
              <w:t>Selection UMKM, baseline assessment, finalisasi scope.</w:t>
            </w:r>
          </w:p>
        </w:tc>
      </w:tr>
      <w:tr>
        <w:tc>
          <w:tcPr>
            <w:tcW w:type="dxa" w:w="4986"/>
          </w:tcPr>
          <w:p>
            <w:r/>
            <w:r>
              <w:rPr>
                <w:rFonts w:ascii="Aptos" w:hAnsi="Aptos"/>
                <w:b/>
                <w:color w:val="0C1E37"/>
                <w:sz w:val="18"/>
              </w:rPr>
              <w:t>Bulan 2</w:t>
            </w:r>
          </w:p>
        </w:tc>
        <w:tc>
          <w:tcPr>
            <w:tcW w:type="dxa" w:w="4986"/>
          </w:tcPr>
          <w:p>
            <w:r/>
            <w:r>
              <w:rPr>
                <w:rFonts w:ascii="Aptos" w:hAnsi="Aptos"/>
                <w:b w:val="0"/>
                <w:color w:val="222222"/>
                <w:sz w:val="18"/>
              </w:rPr>
              <w:t>Pelaksanaan pilot 11 hari.</w:t>
            </w:r>
          </w:p>
        </w:tc>
      </w:tr>
      <w:tr>
        <w:tc>
          <w:tcPr>
            <w:tcW w:type="dxa" w:w="4986"/>
          </w:tcPr>
          <w:p>
            <w:r/>
            <w:r>
              <w:rPr>
                <w:rFonts w:ascii="Aptos" w:hAnsi="Aptos"/>
                <w:b/>
                <w:color w:val="0C1E37"/>
                <w:sz w:val="18"/>
              </w:rPr>
              <w:t>Bulan 3–4</w:t>
            </w:r>
          </w:p>
        </w:tc>
        <w:tc>
          <w:tcPr>
            <w:tcW w:type="dxa" w:w="4986"/>
          </w:tcPr>
          <w:p>
            <w:r/>
            <w:r>
              <w:rPr>
                <w:rFonts w:ascii="Aptos" w:hAnsi="Aptos"/>
                <w:b w:val="0"/>
                <w:color w:val="222222"/>
                <w:sz w:val="18"/>
              </w:rPr>
              <w:t>90-day monitoring, support dan optimisation.</w:t>
            </w:r>
          </w:p>
        </w:tc>
      </w:tr>
      <w:tr>
        <w:tc>
          <w:tcPr>
            <w:tcW w:type="dxa" w:w="4986"/>
          </w:tcPr>
          <w:p>
            <w:r/>
            <w:r>
              <w:rPr>
                <w:rFonts w:ascii="Aptos" w:hAnsi="Aptos"/>
                <w:b/>
                <w:color w:val="0C1E37"/>
                <w:sz w:val="18"/>
              </w:rPr>
              <w:t>Bulan 4</w:t>
            </w:r>
          </w:p>
        </w:tc>
        <w:tc>
          <w:tcPr>
            <w:tcW w:type="dxa" w:w="4986"/>
          </w:tcPr>
          <w:p>
            <w:r/>
            <w:r>
              <w:rPr>
                <w:rFonts w:ascii="Aptos" w:hAnsi="Aptos"/>
                <w:b w:val="0"/>
                <w:color w:val="222222"/>
                <w:sz w:val="18"/>
              </w:rPr>
              <w:t>Evaluation dan case study.</w:t>
            </w:r>
          </w:p>
        </w:tc>
      </w:tr>
      <w:tr>
        <w:tc>
          <w:tcPr>
            <w:tcW w:type="dxa" w:w="4986"/>
          </w:tcPr>
          <w:p>
            <w:r/>
            <w:r>
              <w:rPr>
                <w:rFonts w:ascii="Aptos" w:hAnsi="Aptos"/>
                <w:b/>
                <w:color w:val="0C1E37"/>
                <w:sz w:val="18"/>
              </w:rPr>
              <w:t>Bulan 5–6</w:t>
            </w:r>
          </w:p>
        </w:tc>
        <w:tc>
          <w:tcPr>
            <w:tcW w:type="dxa" w:w="4986"/>
          </w:tcPr>
          <w:p>
            <w:r/>
            <w:r>
              <w:rPr>
                <w:rFonts w:ascii="Aptos" w:hAnsi="Aptos"/>
                <w:b w:val="0"/>
                <w:color w:val="222222"/>
                <w:sz w:val="18"/>
              </w:rPr>
              <w:t>KADIN Digital Platform / Digital Foundation.</w:t>
            </w:r>
          </w:p>
        </w:tc>
      </w:tr>
      <w:tr>
        <w:tc>
          <w:tcPr>
            <w:tcW w:type="dxa" w:w="4986"/>
          </w:tcPr>
          <w:p>
            <w:r/>
            <w:r>
              <w:rPr>
                <w:rFonts w:ascii="Aptos" w:hAnsi="Aptos"/>
                <w:b/>
                <w:color w:val="0C1E37"/>
                <w:sz w:val="18"/>
              </w:rPr>
              <w:t>Bulan 6–8</w:t>
            </w:r>
          </w:p>
        </w:tc>
        <w:tc>
          <w:tcPr>
            <w:tcW w:type="dxa" w:w="4986"/>
          </w:tcPr>
          <w:p>
            <w:r/>
            <w:r>
              <w:rPr>
                <w:rFonts w:ascii="Aptos" w:hAnsi="Aptos"/>
                <w:b w:val="0"/>
                <w:color w:val="222222"/>
                <w:sz w:val="18"/>
              </w:rPr>
              <w:t>Marketplace / directory dan AI Media Engine.</w:t>
            </w:r>
          </w:p>
        </w:tc>
      </w:tr>
      <w:tr>
        <w:tc>
          <w:tcPr>
            <w:tcW w:type="dxa" w:w="4986"/>
          </w:tcPr>
          <w:p>
            <w:r/>
            <w:r>
              <w:rPr>
                <w:rFonts w:ascii="Aptos" w:hAnsi="Aptos"/>
                <w:b/>
                <w:color w:val="0C1E37"/>
                <w:sz w:val="18"/>
              </w:rPr>
              <w:t>Bulan 8–10</w:t>
            </w:r>
          </w:p>
        </w:tc>
        <w:tc>
          <w:tcPr>
            <w:tcW w:type="dxa" w:w="4986"/>
          </w:tcPr>
          <w:p>
            <w:r/>
            <w:r>
              <w:rPr>
                <w:rFonts w:ascii="Aptos" w:hAnsi="Aptos"/>
                <w:b w:val="0"/>
                <w:color w:val="222222"/>
                <w:sz w:val="18"/>
              </w:rPr>
              <w:t>Cohort berikutnya / sector-based deployment.</w:t>
            </w:r>
          </w:p>
        </w:tc>
      </w:tr>
      <w:tr>
        <w:tc>
          <w:tcPr>
            <w:tcW w:type="dxa" w:w="4986"/>
          </w:tcPr>
          <w:p>
            <w:r/>
            <w:r>
              <w:rPr>
                <w:rFonts w:ascii="Aptos" w:hAnsi="Aptos"/>
                <w:b/>
                <w:color w:val="0C1E37"/>
                <w:sz w:val="18"/>
              </w:rPr>
              <w:t>Bulan 10–12</w:t>
            </w:r>
          </w:p>
        </w:tc>
        <w:tc>
          <w:tcPr>
            <w:tcW w:type="dxa" w:w="4986"/>
          </w:tcPr>
          <w:p>
            <w:r/>
            <w:r>
              <w:rPr>
                <w:rFonts w:ascii="Aptos" w:hAnsi="Aptos"/>
                <w:b w:val="0"/>
                <w:color w:val="222222"/>
                <w:sz w:val="18"/>
              </w:rPr>
              <w:t>Scale-up, institutional collaboration dan programme planning.</w:t>
            </w:r>
          </w:p>
        </w:tc>
      </w:tr>
    </w:tbl>
    <w:p>
      <w:pPr>
        <w:pStyle w:val="Heading1"/>
      </w:pPr>
      <w:r>
        <w:t>12. Potensi Kolaborasi Indonesia–Malaysia</w:t>
      </w:r>
    </w:p>
    <w:p>
      <w:r>
        <w:t>Dumai memiliki posisi strategis untuk membangun hubungan UMKM lintas negara. Setelah digital capability dan data ecosystem terbentuk, kolaborasi dapat diperluas ke:</w:t>
      </w:r>
    </w:p>
    <w:p>
      <w:pPr>
        <w:pStyle w:val="ListBullet"/>
        <w:spacing w:after="60"/>
      </w:pPr>
      <w:r>
        <w:t>Business matching Indonesia–Malaysia</w:t>
      </w:r>
    </w:p>
    <w:p>
      <w:pPr>
        <w:pStyle w:val="ListBullet"/>
        <w:spacing w:after="60"/>
      </w:pPr>
      <w:r>
        <w:t>Product sourcing dan supplier discovery</w:t>
      </w:r>
    </w:p>
    <w:p>
      <w:pPr>
        <w:pStyle w:val="ListBullet"/>
        <w:spacing w:after="60"/>
      </w:pPr>
      <w:r>
        <w:t>Cross-border marketplace / catalogue</w:t>
      </w:r>
    </w:p>
    <w:p>
      <w:pPr>
        <w:pStyle w:val="ListBullet"/>
        <w:spacing w:after="60"/>
      </w:pPr>
      <w:r>
        <w:t>SME technology transfer</w:t>
      </w:r>
    </w:p>
    <w:p>
      <w:pPr>
        <w:pStyle w:val="ListBullet"/>
        <w:spacing w:after="60"/>
      </w:pPr>
      <w:r>
        <w:t>Internship dan university collaboration</w:t>
      </w:r>
    </w:p>
    <w:p>
      <w:pPr>
        <w:pStyle w:val="ListBullet"/>
        <w:spacing w:after="60"/>
      </w:pPr>
      <w:r>
        <w:t>AI research dan entrepreneurship programme</w:t>
      </w:r>
    </w:p>
    <w:p>
      <w:pPr>
        <w:pStyle w:val="ListBullet"/>
        <w:spacing w:after="60"/>
      </w:pPr>
      <w:r>
        <w:t>Market access untuk produk terpilih</w:t>
      </w:r>
    </w:p>
    <w:p>
      <w:pPr>
        <w:pStyle w:val="Heading1"/>
      </w:pPr>
      <w:r>
        <w:t>13. Tentang AINNA</w:t>
      </w:r>
    </w:p>
    <w:p>
      <w:r>
        <w:t>AINNA mengembangkan pendekatan NeuralOps dan sistem digital untuk menghubungkan business operations, automation dan AI dalam satu alur kerja yang praktis untuk organisasi dan SME/UMKM.</w:t>
      </w:r>
    </w:p>
    <w:p>
      <w:pPr>
        <w:pStyle w:val="ListBullet"/>
        <w:spacing w:after="60"/>
      </w:pPr>
      <w:r>
        <w:t>Pengalaman membangun dan mengoperasikan sistem e-commerce serta business workflow.</w:t>
      </w:r>
    </w:p>
    <w:p>
      <w:pPr>
        <w:pStyle w:val="ListBullet"/>
        <w:spacing w:after="60"/>
      </w:pPr>
      <w:r>
        <w:t>Fokus pada Agentic AI, automation, financial systems dan digital transformation.</w:t>
      </w:r>
    </w:p>
    <w:p>
      <w:pPr>
        <w:pStyle w:val="ListBullet"/>
        <w:spacing w:after="60"/>
      </w:pPr>
      <w:r>
        <w:t>Pendekatan modular: sistem dapat dimulai kecil dan berkembang mengikut kebutuhan.</w:t>
      </w:r>
    </w:p>
    <w:p>
      <w:pPr>
        <w:pStyle w:val="ListBullet"/>
        <w:spacing w:after="60"/>
      </w:pPr>
      <w:r>
        <w:t>Dua usaha/solusi AINNA telah menerima penilaian TRL9 daripada MOSTI Malaysia, yang digunakan sebagai rujukan tahap kematangan teknologi.</w:t>
      </w:r>
    </w:p>
    <w:p>
      <w:r>
        <w:t>Pendekatan AINNA menekankan penggunaan AI secara efisien, measurable dan terintegrasi dengan sistem, bukan sekadar penggunaan model AI secara terpisah.</w:t>
      </w:r>
    </w:p>
    <w:p>
      <w:pPr>
        <w:pStyle w:val="Heading1"/>
      </w:pPr>
      <w:r>
        <w:t>14. Langkah Selanjutnya yang Diusulkan</w:t>
      </w:r>
    </w:p>
    <w:p>
      <w:pPr>
        <w:pStyle w:val="ListBullet"/>
        <w:spacing w:after="60"/>
      </w:pPr>
      <w:r>
        <w:t>Diskusi awal bersama KADIN Dumai.</w:t>
      </w:r>
    </w:p>
    <w:p>
      <w:pPr>
        <w:pStyle w:val="ListBullet"/>
        <w:spacing w:after="60"/>
      </w:pPr>
      <w:r>
        <w:t>Identifikasi kebutuhan prioritas KADIN dan UMKM.</w:t>
      </w:r>
    </w:p>
    <w:p>
      <w:pPr>
        <w:pStyle w:val="ListBullet"/>
        <w:spacing w:after="60"/>
      </w:pPr>
      <w:r>
        <w:t>Pemilihan cohort pilot.</w:t>
      </w:r>
    </w:p>
    <w:p>
      <w:pPr>
        <w:pStyle w:val="ListBullet"/>
        <w:spacing w:after="60"/>
      </w:pPr>
      <w:r>
        <w:t>Baseline assessment dan finalisasi use case.</w:t>
      </w:r>
    </w:p>
    <w:p>
      <w:pPr>
        <w:pStyle w:val="ListBullet"/>
        <w:spacing w:after="60"/>
      </w:pPr>
      <w:r>
        <w:t>Finalisasi jadwal, scope dan mekanisme pelaksanaan.</w:t>
      </w:r>
    </w:p>
    <w:p>
      <w:pPr>
        <w:pStyle w:val="ListBullet"/>
        <w:spacing w:after="60"/>
      </w:pPr>
      <w:r>
        <w:t>Pelaksanaan Proof of Concept.</w:t>
      </w:r>
    </w:p>
    <w:p>
      <w:pPr>
        <w:pStyle w:val="ListBullet"/>
        <w:spacing w:after="60"/>
      </w:pPr>
      <w:r>
        <w:t>Evaluasi Day 30 / Day 60 / Day 90.</w:t>
      </w:r>
    </w:p>
    <w:p>
      <w:pPr>
        <w:pStyle w:val="ListBullet"/>
        <w:spacing w:after="60"/>
      </w:pPr>
      <w:r>
        <w:t>Perencanaan scale-up berdasarkan evidence.</w:t>
      </w:r>
    </w:p>
    <w:tbl>
      <w:tblPr>
        <w:tblW w:type="auto" w:w="0"/>
        <w:jc w:val="center"/>
        <w:tblLayout w:type="autofit"/>
        <w:tblLook w:firstColumn="1" w:firstRow="1" w:lastColumn="0" w:lastRow="0" w:noHBand="0" w:noVBand="1" w:val="04A0"/>
      </w:tblPr>
      <w:tblGrid>
        <w:gridCol w:w="9972"/>
      </w:tblGrid>
      <w:tr>
        <w:tc>
          <w:tcPr>
            <w:tcW w:type="dxa" w:w="9972"/>
            <w:shd w:fill="0C1E37"/>
            <w:vAlign w:val="center"/>
          </w:tcPr>
          <w:p>
            <w:pPr>
              <w:jc w:val="center"/>
            </w:pPr>
            <w:r/>
            <w:r>
              <w:rPr>
                <w:rFonts w:ascii="Aptos" w:hAnsi="Aptos"/>
                <w:b/>
                <w:color w:val="FFFFFF"/>
                <w:sz w:val="22"/>
              </w:rPr>
              <w:t>KADIN DUMAI × AINNA — BUILD CAPABILITY, DEPLOY SYSTEMS, CREATE EVIDENCE</w:t>
            </w:r>
          </w:p>
        </w:tc>
      </w:tr>
    </w:tbl>
    <w:p>
      <w:pPr>
        <w:spacing w:after="40"/>
      </w:pPr>
    </w:p>
    <w:p>
      <w:r>
        <w:br w:type="page"/>
      </w:r>
    </w:p>
    <w:p>
      <w:pPr>
        <w:jc w:val="center"/>
      </w:pPr>
      <w:r>
        <w:rPr>
          <w:b/>
          <w:color w:val="666666"/>
          <w:sz w:val="24"/>
        </w:rPr>
        <w:t>Lampiran — Estimasi Investasi Pilot</w:t>
      </w:r>
    </w:p>
    <w:p>
      <w:pPr>
        <w:jc w:val="center"/>
      </w:pPr>
      <w:r>
        <w:rPr>
          <w:color w:val="666666"/>
          <w:sz w:val="17"/>
        </w:rPr>
        <w:t>Bagian ini bersifat indikatif dan dapat disesuaikan setelah scope, jumlah peserta, lokasi pelaksanaan, infrastructure, dan kebutuhan khusus dikonfirmasi.</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D4E3F0"/>
          </w:tcPr>
          <w:p>
            <w:r/>
            <w:r>
              <w:rPr>
                <w:rFonts w:ascii="Aptos" w:hAnsi="Aptos"/>
                <w:b/>
                <w:color w:val="0C1E37"/>
                <w:sz w:val="17"/>
              </w:rPr>
              <w:t>Opsi</w:t>
            </w:r>
          </w:p>
        </w:tc>
        <w:tc>
          <w:tcPr>
            <w:tcW w:type="dxa" w:w="3324"/>
            <w:shd w:fill="D4E3F0"/>
          </w:tcPr>
          <w:p>
            <w:r/>
            <w:r>
              <w:rPr>
                <w:rFonts w:ascii="Aptos" w:hAnsi="Aptos"/>
                <w:b/>
                <w:color w:val="0C1E37"/>
                <w:sz w:val="17"/>
              </w:rPr>
              <w:t>Ruang Lingkup</w:t>
            </w:r>
          </w:p>
        </w:tc>
        <w:tc>
          <w:tcPr>
            <w:tcW w:type="dxa" w:w="3324"/>
            <w:shd w:fill="D4E3F0"/>
          </w:tcPr>
          <w:p>
            <w:r/>
            <w:r>
              <w:rPr>
                <w:rFonts w:ascii="Aptos" w:hAnsi="Aptos"/>
                <w:b/>
                <w:color w:val="0C1E37"/>
                <w:sz w:val="17"/>
              </w:rPr>
              <w:t>Estimasi</w:t>
            </w:r>
          </w:p>
        </w:tc>
      </w:tr>
      <w:tr>
        <w:tc>
          <w:tcPr>
            <w:tcW w:type="dxa" w:w="3324"/>
          </w:tcPr>
          <w:p>
            <w:r/>
            <w:r>
              <w:rPr>
                <w:rFonts w:ascii="Aptos" w:hAnsi="Aptos"/>
                <w:b w:val="0"/>
                <w:color w:val="444444"/>
                <w:sz w:val="16"/>
              </w:rPr>
              <w:t>Pilot A</w:t>
            </w:r>
          </w:p>
        </w:tc>
        <w:tc>
          <w:tcPr>
            <w:tcW w:type="dxa" w:w="3324"/>
          </w:tcPr>
          <w:p>
            <w:r/>
            <w:r>
              <w:rPr>
                <w:rFonts w:ascii="Aptos" w:hAnsi="Aptos"/>
                <w:b w:val="0"/>
                <w:color w:val="444444"/>
                <w:sz w:val="16"/>
              </w:rPr>
              <w:t>10 UMKM • 11 hari • 90-day monitoring</w:t>
            </w:r>
          </w:p>
        </w:tc>
        <w:tc>
          <w:tcPr>
            <w:tcW w:type="dxa" w:w="3324"/>
          </w:tcPr>
          <w:p>
            <w:r/>
            <w:r>
              <w:rPr>
                <w:rFonts w:ascii="Aptos" w:hAnsi="Aptos"/>
                <w:b w:val="0"/>
                <w:color w:val="444444"/>
                <w:sz w:val="16"/>
              </w:rPr>
              <w:t>Rp150.000.000</w:t>
            </w:r>
          </w:p>
        </w:tc>
      </w:tr>
      <w:tr>
        <w:tc>
          <w:tcPr>
            <w:tcW w:type="dxa" w:w="3324"/>
          </w:tcPr>
          <w:p>
            <w:r/>
            <w:r>
              <w:rPr>
                <w:rFonts w:ascii="Aptos" w:hAnsi="Aptos"/>
                <w:b w:val="0"/>
                <w:color w:val="444444"/>
                <w:sz w:val="16"/>
              </w:rPr>
              <w:t>Pilot B</w:t>
            </w:r>
          </w:p>
        </w:tc>
        <w:tc>
          <w:tcPr>
            <w:tcW w:type="dxa" w:w="3324"/>
          </w:tcPr>
          <w:p>
            <w:r/>
            <w:r>
              <w:rPr>
                <w:rFonts w:ascii="Aptos" w:hAnsi="Aptos"/>
                <w:b w:val="0"/>
                <w:color w:val="444444"/>
                <w:sz w:val="16"/>
              </w:rPr>
              <w:t>20 UMKM • 11 hari • 90-day monitoring</w:t>
            </w:r>
          </w:p>
        </w:tc>
        <w:tc>
          <w:tcPr>
            <w:tcW w:type="dxa" w:w="3324"/>
          </w:tcPr>
          <w:p>
            <w:r/>
            <w:r>
              <w:rPr>
                <w:rFonts w:ascii="Aptos" w:hAnsi="Aptos"/>
                <w:b w:val="0"/>
                <w:color w:val="444444"/>
                <w:sz w:val="16"/>
              </w:rPr>
              <w:t>Rp250.000.000</w:t>
            </w:r>
          </w:p>
        </w:tc>
      </w:tr>
      <w:tr>
        <w:tc>
          <w:tcPr>
            <w:tcW w:type="dxa" w:w="3324"/>
          </w:tcPr>
          <w:p>
            <w:r/>
            <w:r>
              <w:rPr>
                <w:rFonts w:ascii="Aptos" w:hAnsi="Aptos"/>
                <w:b w:val="0"/>
                <w:color w:val="444444"/>
                <w:sz w:val="16"/>
              </w:rPr>
              <w:t>Strategic Pilot</w:t>
            </w:r>
          </w:p>
        </w:tc>
        <w:tc>
          <w:tcPr>
            <w:tcW w:type="dxa" w:w="3324"/>
          </w:tcPr>
          <w:p>
            <w:r/>
            <w:r>
              <w:rPr>
                <w:rFonts w:ascii="Aptos" w:hAnsi="Aptos"/>
                <w:b w:val="0"/>
                <w:color w:val="444444"/>
                <w:sz w:val="16"/>
              </w:rPr>
              <w:t>20 UMKM + KADIN Digital Foundation</w:t>
            </w:r>
          </w:p>
        </w:tc>
        <w:tc>
          <w:tcPr>
            <w:tcW w:type="dxa" w:w="3324"/>
          </w:tcPr>
          <w:p>
            <w:r/>
            <w:r>
              <w:rPr>
                <w:rFonts w:ascii="Aptos" w:hAnsi="Aptos"/>
                <w:b w:val="0"/>
                <w:color w:val="444444"/>
                <w:sz w:val="16"/>
              </w:rPr>
              <w:t>Rp350.000.000</w:t>
            </w:r>
          </w:p>
        </w:tc>
      </w:tr>
    </w:tbl>
    <w:p>
      <w:pPr>
        <w:jc w:val="center"/>
      </w:pPr>
      <w:r>
        <w:rPr>
          <w:color w:val="666666"/>
          <w:sz w:val="16"/>
        </w:rPr>
        <w:t>Catatan: biaya akhir ditetapkan setelah technical scoping dan kesepakatan deliverables.</w:t>
      </w:r>
    </w:p>
    <w:sectPr w:rsidR="00FC693F" w:rsidRPr="0006063C" w:rsidSect="00034616">
      <w:footerReference w:type="default" r:id="rId9"/>
      <w:pgSz w:w="12240" w:h="15840"/>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5"/>
      </w:rPr>
      <w:t>KADIN DUMAI × AINNA  |  Program Transformasi Digital &amp; Agentic AI UMKM Dumai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1395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85A8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6464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0C1E37"/>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KADIN Dumai × AINNA</dc:title>
  <dc:subject>Program Transformasi Digital &amp; Agentic AI UMKM Dumai</dc:subject>
  <dc:creator>AINNA</dc:creator>
  <cp:keywords>KADIN Dumai, UMKM, AI, Agentic AI, Digital Transformation, AINNA</cp:keywords>
  <dc:description>generated by python-docx</dc:description>
  <cp:lastModifiedBy/>
  <cp:revision>1</cp:revision>
  <dcterms:created xsi:type="dcterms:W3CDTF">2013-12-23T23:15:00Z</dcterms:created>
  <dcterms:modified xsi:type="dcterms:W3CDTF">2013-12-23T23:15:00Z</dcterms:modified>
  <cp:category/>
</cp:coreProperties>
</file>