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97121C"/>
          <w:sz w:val="50"/>
        </w:rPr>
        <w:t>EXECUTIVE SUMMARY</w:t>
      </w:r>
    </w:p>
    <w:p>
      <w:pPr>
        <w:jc w:val="center"/>
      </w:pPr>
      <w:r>
        <w:rPr>
          <w:b/>
          <w:color w:val="2D2D2D"/>
          <w:sz w:val="32"/>
        </w:rPr>
        <w:t>DDEC × AINNA</w:t>
        <w:br/>
        <w:t>SME Digital Transformation with AI</w:t>
      </w:r>
    </w:p>
    <w:p>
      <w:pPr>
        <w:jc w:val="center"/>
      </w:pPr>
      <w:r>
        <w:rPr>
          <w:i/>
          <w:color w:val="6E6E6E"/>
          <w:sz w:val="21"/>
        </w:rPr>
        <w:t>Start Small. Build with AI. Grow with Confidence.</w:t>
      </w:r>
    </w:p>
    <w:p>
      <w:r>
        <w:t>Cadangan ini memperluaskan kekuatan DDEC dalam branding, design development dan pembangunan usahawan kepada peringkat seterusnya: digital business, AI-assisted operations dan management intelligence. AINNA tidak menggantikan peranan DDEC; sebaliknya, aset sedia ada seperti Company Profile, Branding Kit, product information dan business data digunakan sebagai asas untuk membina sistem digital SME secara berperingkat.</w:t>
      </w:r>
    </w:p>
    <w:tbl>
      <w:tblPr>
        <w:tblW w:type="auto" w:w="0"/>
        <w:jc w:val="center"/>
        <w:tblLook w:firstColumn="1" w:firstRow="1" w:lastColumn="0" w:lastRow="0" w:noHBand="0" w:noVBand="1" w:val="04A0"/>
      </w:tblPr>
      <w:tblGrid>
        <w:gridCol w:w="10080"/>
      </w:tblGrid>
      <w:tr>
        <w:tc>
          <w:tcPr>
            <w:tcW w:type="dxa" w:w="10080"/>
            <w:vAlign w:val="center"/>
            <w:shd w:fill="F5EDEF"/>
          </w:tcPr>
          <w:p>
            <w:pPr>
              <w:jc w:val="center"/>
            </w:pPr>
            <w:r>
              <w:rPr>
                <w:b/>
                <w:color w:val="97121C"/>
                <w:sz w:val="24"/>
              </w:rPr>
              <w:t>DDEC builds the brand.  AINNA extends it into an AI-enabled business.</w:t>
            </w:r>
          </w:p>
        </w:tc>
      </w:tr>
    </w:tbl>
    <w:p>
      <w:pPr>
        <w:pStyle w:val="Heading1"/>
      </w:pPr>
      <w:r>
        <w:t>Strategic Demonstration: MissDodol</w:t>
      </w:r>
    </w:p>
    <w:p>
      <w:r>
        <w:t>MissDodol menyediakan contoh sebenar bagaimana pembangunan design boleh disambung kepada transformasi digital. DDEC telah membantu memperkukuh design dan packaging produk sehingga menerima Malaysia Good Design Award 2023. AINNA mencadangkan kesinambungan kepada lapisan digital:</w:t>
      </w:r>
    </w:p>
    <w:p>
      <w:pPr>
        <w:jc w:val="center"/>
      </w:pPr>
      <w:r>
        <w:rPr>
          <w:b/>
          <w:color w:val="97121C"/>
        </w:rPr>
        <w:t>Branding → Website → E-Commerce → Business System → NeuralOps → AI Management Intelligence</w:t>
      </w:r>
    </w:p>
    <w:p>
      <w:pPr>
        <w:pStyle w:val="Heading1"/>
      </w:pPr>
      <w:r>
        <w:t>AINNA AI Business Builder Program</w:t>
      </w:r>
    </w:p>
    <w:p>
      <w:r>
        <w:t>Powered by AINNA Agent AI + NeuralOps | Modular training: 11 days</w:t>
      </w:r>
    </w:p>
    <w:p>
      <w:pPr>
        <w:spacing w:after="60"/>
      </w:pPr>
      <w:r>
        <w:rPr>
          <w:b/>
          <w:color w:val="97121C"/>
        </w:rPr>
        <w:t xml:space="preserve">Stage 1 — 3 days | </w:t>
      </w:r>
      <w:r>
        <w:rPr>
          <w:b/>
        </w:rPr>
        <w:t>AI Agent + Corporate Website + Cloud VPS</w:t>
      </w:r>
      <w:r>
        <w:br/>
        <w:t>Use existing Company Profile and Branding Kit to build and deploy a corporate website, including VPS, web server, domain/subdomain and SSL.</w:t>
      </w:r>
    </w:p>
    <w:p>
      <w:pPr>
        <w:spacing w:after="60"/>
      </w:pPr>
      <w:r>
        <w:rPr>
          <w:b/>
          <w:color w:val="97121C"/>
        </w:rPr>
        <w:t xml:space="preserve">Stage 2 — 3 days | </w:t>
      </w:r>
      <w:r>
        <w:rPr>
          <w:b/>
        </w:rPr>
        <w:t>Laravel + E-Commerce System</w:t>
      </w:r>
      <w:r>
        <w:br/>
        <w:t>Product database, catalogue, cart, checkout, payment integration, orders, customer database and admin workflow.</w:t>
      </w:r>
    </w:p>
    <w:p>
      <w:pPr>
        <w:spacing w:after="60"/>
      </w:pPr>
      <w:r>
        <w:rPr>
          <w:b/>
          <w:color w:val="97121C"/>
        </w:rPr>
        <w:t xml:space="preserve">Stage 3 — 1 day | </w:t>
      </w:r>
      <w:r>
        <w:rPr>
          <w:b/>
        </w:rPr>
        <w:t>SEO + Security + AI Audit</w:t>
      </w:r>
      <w:r>
        <w:br/>
        <w:t>SEO, performance optimisation, security hardening, backup, monitoring and AI-assisted audit.</w:t>
      </w:r>
    </w:p>
    <w:p>
      <w:pPr>
        <w:spacing w:after="60"/>
      </w:pPr>
      <w:r>
        <w:rPr>
          <w:b/>
          <w:color w:val="97121C"/>
        </w:rPr>
        <w:t xml:space="preserve">Stage 4 — 3 days | </w:t>
      </w:r>
      <w:r>
        <w:rPr>
          <w:b/>
        </w:rPr>
        <w:t>AI Business Management System</w:t>
      </w:r>
      <w:r>
        <w:br/>
        <w:t>Sales, inventory and finance dashboards to answer: What happened? Why? What is the risk? What action should management take next?</w:t>
      </w:r>
    </w:p>
    <w:p>
      <w:pPr>
        <w:spacing w:after="60"/>
      </w:pPr>
      <w:r>
        <w:rPr>
          <w:b/>
          <w:color w:val="97121C"/>
        </w:rPr>
        <w:t xml:space="preserve">Stage 5 — 1 day | </w:t>
      </w:r>
      <w:r>
        <w:rPr>
          <w:b/>
        </w:rPr>
        <w:t>NeuralOps Business Challenge + Demo Day</w:t>
      </w:r>
      <w:r>
        <w:br/>
        <w:t>Participants present a complete working business system based on a real SME use case; evaluation focuses on business impact, functionality, automation and deployment.</w:t>
      </w:r>
    </w:p>
    <w:p>
      <w:pPr>
        <w:pStyle w:val="Heading1"/>
      </w:pPr>
      <w:r>
        <w:t>NeuralOps Architecture</w:t>
      </w:r>
    </w:p>
    <w:p>
      <w:r>
        <w:t>NeuralOps ensures AI is not used blindly for every task. Structured and repetitive workloads are routed to rules, parsers, automation, detached systems or smaller/distilled models; large language models are used only when required.</w:t>
      </w:r>
    </w:p>
    <w:p>
      <w:pPr>
        <w:jc w:val="center"/>
      </w:pPr>
      <w:r>
        <w:rPr>
          <w:b/>
          <w:color w:val="97121C"/>
          <w:sz w:val="24"/>
        </w:rPr>
        <w:t>Right Task → Right System → Right Model → Right Compute</w:t>
      </w:r>
    </w:p>
    <w:p>
      <w:pPr>
        <w:pStyle w:val="Heading1"/>
      </w:pPr>
      <w:r>
        <w:t>From Website to Management Intelligence</w:t>
      </w:r>
    </w:p>
    <w:p>
      <w:r>
        <w:t>The objective is not merely to produce a website. The SME receives a Digital HQ that connects customer activity with operational and financial visibility.</w:t>
      </w:r>
    </w:p>
    <w:p>
      <w:pPr>
        <w:jc w:val="center"/>
      </w:pPr>
      <w:r>
        <w:rPr>
          <w:b/>
        </w:rPr>
        <w:t>Customers → Orders → Sales → Inventory → Finance → NeuralOps → Management Dashboard → AI Recommendation</w:t>
      </w:r>
    </w:p>
    <w:p>
      <w:r>
        <w:t>Management can identify best and slow-moving products, stock requiring reorder, sales movements, cash-flow position, receivables/payables, operational risks and priority actions.</w:t>
      </w:r>
    </w:p>
    <w:p>
      <w:pPr>
        <w:pStyle w:val="Heading1"/>
      </w:pPr>
      <w:r>
        <w:t>Infrastructure &amp; Delivery Model</w:t>
      </w:r>
    </w:p>
    <w:tbl>
      <w:tblPr>
        <w:tblStyle w:val="TableGrid"/>
        <w:tblW w:type="auto" w:w="0"/>
        <w:jc w:val="center"/>
        <w:tblLook w:firstColumn="1" w:firstRow="1" w:lastColumn="0" w:lastRow="0" w:noHBand="0" w:noVBand="1" w:val="04A0"/>
      </w:tblPr>
      <w:tblGrid>
        <w:gridCol w:w="5040"/>
        <w:gridCol w:w="5040"/>
      </w:tblGrid>
      <w:tr>
        <w:tc>
          <w:tcPr>
            <w:tcW w:type="dxa" w:w="5040"/>
          </w:tcPr>
          <w:p>
            <w:r>
              <w:t>Item</w:t>
            </w:r>
          </w:p>
        </w:tc>
        <w:tc>
          <w:tcPr>
            <w:tcW w:type="dxa" w:w="5040"/>
          </w:tcPr>
          <w:p>
            <w:r>
              <w:t>Proposal</w:t>
            </w:r>
          </w:p>
        </w:tc>
      </w:tr>
      <w:tr>
        <w:tc>
          <w:tcPr>
            <w:tcW w:type="dxa" w:w="5040"/>
          </w:tcPr>
          <w:p>
            <w:r>
              <w:t>Infrastructure</w:t>
            </w:r>
          </w:p>
        </w:tc>
        <w:tc>
          <w:tcPr>
            <w:tcW w:type="dxa" w:w="5040"/>
          </w:tcPr>
          <w:p>
            <w:r>
              <w:t>Approx. RM500 per participant / year</w:t>
            </w:r>
          </w:p>
        </w:tc>
      </w:tr>
      <w:tr>
        <w:tc>
          <w:tcPr>
            <w:tcW w:type="dxa" w:w="5040"/>
          </w:tcPr>
          <w:p>
            <w:r>
              <w:t>Environment</w:t>
            </w:r>
          </w:p>
        </w:tc>
        <w:tc>
          <w:tcPr>
            <w:tcW w:type="dxa" w:w="5040"/>
          </w:tcPr>
          <w:p>
            <w:r>
              <w:t>Cloud VPS + AINNA Agent AI + NeuralOps + development/deployment workspace</w:t>
            </w:r>
          </w:p>
        </w:tc>
      </w:tr>
      <w:tr>
        <w:tc>
          <w:tcPr>
            <w:tcW w:type="dxa" w:w="5040"/>
          </w:tcPr>
          <w:p>
            <w:r>
              <w:t>AI Access</w:t>
            </w:r>
          </w:p>
        </w:tc>
        <w:tc>
          <w:tcPr>
            <w:tcW w:type="dxa" w:w="5040"/>
          </w:tcPr>
          <w:p>
            <w:r>
              <w:t>Free model access may reach several hours daily, subject to usage, provider availability and policy</w:t>
            </w:r>
          </w:p>
        </w:tc>
      </w:tr>
      <w:tr>
        <w:tc>
          <w:tcPr>
            <w:tcW w:type="dxa" w:w="5040"/>
          </w:tcPr>
          <w:p>
            <w:r>
              <w:t>Trainer: 1–5 participants</w:t>
            </w:r>
          </w:p>
        </w:tc>
        <w:tc>
          <w:tcPr>
            <w:tcW w:type="dxa" w:w="5040"/>
          </w:tcPr>
          <w:p>
            <w:r>
              <w:t>1 trainer</w:t>
            </w:r>
          </w:p>
        </w:tc>
      </w:tr>
      <w:tr>
        <w:tc>
          <w:tcPr>
            <w:tcW w:type="dxa" w:w="5040"/>
          </w:tcPr>
          <w:p>
            <w:r>
              <w:t>Trainer: 6–20 participants</w:t>
            </w:r>
          </w:p>
        </w:tc>
        <w:tc>
          <w:tcPr>
            <w:tcW w:type="dxa" w:w="5040"/>
          </w:tcPr>
          <w:p>
            <w:r>
              <w:t>2 trainers</w:t>
            </w:r>
          </w:p>
        </w:tc>
      </w:tr>
      <w:tr>
        <w:tc>
          <w:tcPr>
            <w:tcW w:type="dxa" w:w="5040"/>
          </w:tcPr>
          <w:p>
            <w:r>
              <w:t>Trainer: &gt;20 participants</w:t>
            </w:r>
          </w:p>
        </w:tc>
        <w:tc>
          <w:tcPr>
            <w:tcW w:type="dxa" w:w="5040"/>
          </w:tcPr>
          <w:p>
            <w:r>
              <w:t>3 trainers</w:t>
            </w:r>
          </w:p>
        </w:tc>
      </w:tr>
      <w:tr>
        <w:tc>
          <w:tcPr>
            <w:tcW w:type="dxa" w:w="5040"/>
          </w:tcPr>
          <w:p>
            <w:r>
              <w:t>Training Fees</w:t>
            </w:r>
          </w:p>
        </w:tc>
        <w:tc>
          <w:tcPr>
            <w:tcW w:type="dxa" w:w="5040"/>
          </w:tcPr>
          <w:p>
            <w:r>
              <w:t>Each Stage is charged separately; modular implementation is possible</w:t>
            </w:r>
          </w:p>
        </w:tc>
      </w:tr>
    </w:tbl>
    <w:p>
      <w:pPr>
        <w:pStyle w:val="Heading2"/>
      </w:pPr>
      <w:r>
        <w:t>Trainer Logistics</w:t>
      </w:r>
    </w:p>
    <w:p>
      <w:r>
        <w:t>Accommodation is provided/borne by the organiser. For Peninsular Malaysia, trainer travel is calculated from Melaka to the training location and return, with toll and parking reimbursed/arranged. For Sabah/Sarawak, return airfare, accommodation, airport transfer/local transport and required baggage are borne/provided by the organiser.</w:t>
      </w:r>
    </w:p>
    <w:p>
      <w:pPr>
        <w:pStyle w:val="Heading1"/>
      </w:pPr>
      <w:r>
        <w:t>Traction, Distillation &amp; Commercialisation</w:t>
      </w:r>
    </w:p>
    <w:p>
      <w:r>
        <w:t>The programme is designed to continue beyond classroom training. Strong projects can progress through:</w:t>
      </w:r>
    </w:p>
    <w:p>
      <w:pPr>
        <w:jc w:val="center"/>
      </w:pPr>
      <w:r>
        <w:rPr>
          <w:b/>
        </w:rPr>
        <w:t>Training → Build → Deploy → Pilot → SME Adoption → Validation → Traction → Case Study → Commercialisation</w:t>
      </w:r>
    </w:p>
    <w:p>
      <w:r>
        <w:t>Subject to consent and governance, sanitised/anonymised workflows, business rules, prompt patterns, routing logic and evaluation cases can contribute to automation refinement and model distillation. Sensitive or proprietary information is excluded.</w:t>
      </w:r>
    </w:p>
    <w:p>
      <w:pPr>
        <w:pStyle w:val="Heading1"/>
      </w:pPr>
      <w:r>
        <w:t>Strategic Value to DDEC</w:t>
      </w:r>
    </w:p>
    <w:p>
      <w:r>
        <w:t>This collaboration enables DDEC to extend its existing design and entrepreneurship capability into an ecosystem that connects Design + Entrepreneurship + Digital Systems + AI + Business Intelligence. DDEC remains the foundation for SME brand and business design, while AINNA provides the execution, AI and operational intelligence layers.</w:t>
      </w:r>
    </w:p>
    <w:tbl>
      <w:tblPr>
        <w:tblW w:type="auto" w:w="0"/>
        <w:tblLook w:firstColumn="1" w:firstRow="1" w:lastColumn="0" w:lastRow="0" w:noHBand="0" w:noVBand="1" w:val="04A0"/>
      </w:tblPr>
      <w:tblGrid>
        <w:gridCol w:w="10080"/>
      </w:tblGrid>
      <w:tr>
        <w:tc>
          <w:tcPr>
            <w:tcW w:type="dxa" w:w="10080"/>
            <w:shd w:fill="97121C"/>
          </w:tcPr>
          <w:p>
            <w:pPr>
              <w:jc w:val="center"/>
            </w:pPr>
            <w:r>
              <w:rPr>
                <w:b/>
                <w:color w:val="FFFFFF"/>
                <w:sz w:val="26"/>
              </w:rPr>
              <w:t>Start Small. Build with AI. Grow with Confidence.</w:t>
            </w:r>
          </w:p>
          <w:p>
            <w:pPr>
              <w:jc w:val="center"/>
            </w:pPr>
            <w:r>
              <w:rPr>
                <w:color w:val="FFFFFF"/>
                <w:sz w:val="18"/>
              </w:rPr>
              <w:t>AI assists the SME. Humans retain ownership of decisions, strategy and business judgement.</w:t>
            </w:r>
          </w:p>
        </w:tc>
      </w:tr>
    </w:tbl>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878"/>
        <w:sz w:val="16"/>
      </w:rPr>
      <w:t>DDEC × AINNA | Executive Summary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97121C"/>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323232"/>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97121C"/>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