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Platform-Mediated</w:t>
      </w:r>
      <w:r>
        <w:t xml:space="preserve"> </w:t>
      </w:r>
      <w:r>
        <w:t xml:space="preserve">Institutional</w:t>
      </w:r>
      <w:r>
        <w:t xml:space="preserve"> </w:t>
      </w:r>
      <w:r>
        <w:t xml:space="preserve">Support</w:t>
      </w:r>
      <w:r>
        <w:t xml:space="preserve"> </w:t>
      </w:r>
      <w:r>
        <w:t xml:space="preserve">and</w:t>
      </w:r>
      <w:r>
        <w:t xml:space="preserve"> </w:t>
      </w:r>
      <w:r>
        <w:t xml:space="preserve">the</w:t>
      </w:r>
      <w:r>
        <w:t xml:space="preserve"> </w:t>
      </w:r>
      <w:r>
        <w:t xml:space="preserve">Development</w:t>
      </w:r>
      <w:r>
        <w:t xml:space="preserve"> </w:t>
      </w:r>
      <w:r>
        <w:t xml:space="preserve">of</w:t>
      </w:r>
      <w:r>
        <w:t xml:space="preserve"> </w:t>
      </w:r>
      <w:r>
        <w:t xml:space="preserve">Digital</w:t>
      </w:r>
      <w:r>
        <w:t xml:space="preserve"> </w:t>
      </w:r>
      <w:r>
        <w:t xml:space="preserve">Entrepreneurial</w:t>
      </w:r>
      <w:r>
        <w:t xml:space="preserve"> </w:t>
      </w:r>
      <w:r>
        <w:t xml:space="preserve">Resilience:</w:t>
      </w:r>
      <w:r>
        <w:t xml:space="preserve"> </w:t>
      </w:r>
      <w:r>
        <w:t xml:space="preserve">Evidence</w:t>
      </w:r>
      <w:r>
        <w:t xml:space="preserve"> </w:t>
      </w:r>
      <w:r>
        <w:t xml:space="preserve">from</w:t>
      </w:r>
      <w:r>
        <w:t xml:space="preserve"> </w:t>
      </w:r>
      <w:r>
        <w:t xml:space="preserve">Agromarketing</w:t>
      </w:r>
      <w:r>
        <w:t xml:space="preserve"> </w:t>
      </w:r>
      <w:r>
        <w:t xml:space="preserve">Masterclass</w:t>
      </w:r>
      <w:r>
        <w:t xml:space="preserve"> </w:t>
      </w:r>
      <w:r>
        <w:t xml:space="preserve">TikTok</w:t>
      </w:r>
      <w:r>
        <w:t xml:space="preserve"> </w:t>
      </w:r>
      <w:r>
        <w:t xml:space="preserve">Shop</w:t>
      </w:r>
      <w:r>
        <w:t xml:space="preserve"> </w:t>
      </w:r>
      <w:r>
        <w:t xml:space="preserve">Edition</w:t>
      </w:r>
      <w:r>
        <w:t xml:space="preserve"> </w:t>
      </w:r>
      <w:r>
        <w:t xml:space="preserve">(AMTTSE)</w:t>
      </w:r>
    </w:p>
    <w:p>
      <w:pPr>
        <w:pStyle w:val="Author"/>
      </w:pPr>
      <w:r>
        <w:t xml:space="preserve">Abd</w:t>
      </w:r>
      <w:r>
        <w:t xml:space="preserve"> </w:t>
      </w:r>
      <w:r>
        <w:t xml:space="preserve">Razzif</w:t>
      </w:r>
      <w:r>
        <w:t xml:space="preserve"> </w:t>
      </w:r>
      <w:r>
        <w:t xml:space="preserve">Abd</w:t>
      </w:r>
      <w:r>
        <w:t xml:space="preserve"> </w:t>
      </w:r>
      <w:r>
        <w:t xml:space="preserve">Razak</w:t>
      </w:r>
    </w:p>
    <w:p>
      <w:pPr>
        <w:pStyle w:val="Author"/>
      </w:pPr>
      <w:r>
        <w:t xml:space="preserve">Siti</w:t>
      </w:r>
      <w:r>
        <w:t xml:space="preserve"> </w:t>
      </w:r>
      <w:r>
        <w:t xml:space="preserve">Faizah</w:t>
      </w:r>
      <w:r>
        <w:t xml:space="preserve"> </w:t>
      </w:r>
      <w:r>
        <w:t xml:space="preserve">Zainal</w:t>
      </w:r>
    </w:p>
    <w:p>
      <w:pPr>
        <w:pStyle w:val="Author"/>
      </w:pPr>
      <w:r>
        <w:t xml:space="preserve">Siti</w:t>
      </w:r>
      <w:r>
        <w:t xml:space="preserve"> </w:t>
      </w:r>
      <w:r>
        <w:t xml:space="preserve">Nurulaini</w:t>
      </w:r>
      <w:r>
        <w:t xml:space="preserve"> </w:t>
      </w:r>
      <w:r>
        <w:t xml:space="preserve">Azmi</w:t>
      </w:r>
    </w:p>
    <w:p>
      <w:pPr>
        <w:pStyle w:val="Author"/>
      </w:pPr>
      <w:r>
        <w:t xml:space="preserve">Nur</w:t>
      </w:r>
      <w:r>
        <w:t xml:space="preserve"> </w:t>
      </w:r>
      <w:r>
        <w:t xml:space="preserve">Hafizah</w:t>
      </w:r>
      <w:r>
        <w:t xml:space="preserve"> </w:t>
      </w:r>
      <w:r>
        <w:t xml:space="preserve">Roslan</w:t>
      </w:r>
    </w:p>
    <w:p>
      <w:pPr>
        <w:pStyle w:val="Author"/>
      </w:pPr>
      <w:r>
        <w:t xml:space="preserve">Nur</w:t>
      </w:r>
      <w:r>
        <w:t xml:space="preserve"> </w:t>
      </w:r>
      <w:r>
        <w:t xml:space="preserve">Syairah</w:t>
      </w:r>
      <w:r>
        <w:t xml:space="preserve"> </w:t>
      </w:r>
      <w:r>
        <w:t xml:space="preserve">Ani</w:t>
      </w:r>
    </w:p>
    <w:p>
      <w:pPr>
        <w:pStyle w:val="Date"/>
      </w:pPr>
      <w:r>
        <w:t xml:space="preserve">2026</w:t>
      </w:r>
    </w:p>
    <w:bookmarkStart w:id="20" w:name="abstract"/>
    <w:p>
      <w:pPr>
        <w:pStyle w:val="Heading1"/>
      </w:pPr>
      <w:r>
        <w:t xml:space="preserve">Abstract</w:t>
      </w:r>
    </w:p>
    <w:p>
      <w:pPr>
        <w:pStyle w:val="FirstParagraph"/>
      </w:pPr>
      <w:r>
        <w:t xml:space="preserve">Government-led digital entrepreneurship programmes are increasingly positioned as mechanisms for building resilience among micro and small enterprises operating in volatile platform economies. Yet the processes through which institutional support translates into individual-level digital entrepreneurial resilience remain undertheorised. Drawing on Institutional Theory and the micro-foundations of Dynamic Capabilities, this study develops and tests a platform-mediated resilience framework using the Agromarketing Masterclass TikTok Shop Edition (AMTTSE), a structured social commerce intervention implemented by Malaysia’s Federal Agricultural Marketing Authority (FAMA).</w:t>
      </w:r>
    </w:p>
    <w:p>
      <w:pPr>
        <w:pStyle w:val="BodyText"/>
      </w:pPr>
      <w:r>
        <w:t xml:space="preserve">Using official programme performance data covering 80 companies and 160 entrepreneurs across seven months (June–December 2024), we examine how regulative, normative and cognitive institutional pillars—operationalised through training, platform infrastructure and peer visibility—shape three resilience dimensions: adaptive content capability, channel diversification, and sales persistence. Pearson correlation and comparative channel analysis reveal that short-video and livestream engagement intensity are strongly associated with both cumulative sales and month-to-month sales stability (r = .93–.99, p &lt; .01). Companies located in digitally mature states exhibited significantly higher channel diversification, suggesting that institutional thickness moderates resilience outcomes.</w:t>
      </w:r>
    </w:p>
    <w:p>
      <w:pPr>
        <w:pStyle w:val="BodyText"/>
      </w:pPr>
      <w:r>
        <w:t xml:space="preserve">The study contributes a novel multi-level model linking platform-mediated institutional support to entrepreneurial resilience and offers policy implications for the design of future digital capability programmes in emerging economies.</w:t>
      </w:r>
    </w:p>
    <w:p>
      <w:pPr>
        <w:pStyle w:val="BodyText"/>
      </w:pPr>
      <w:r>
        <w:rPr>
          <w:bCs/>
          <w:b/>
        </w:rPr>
        <w:t xml:space="preserve">Keywords:</w:t>
      </w:r>
      <w:r>
        <w:t xml:space="preserve"> </w:t>
      </w:r>
      <w:r>
        <w:t xml:space="preserve">digital entrepreneurial resilience; institutional theory; platform economy; social commerce; government intervention; agropreneurship; TikTok Shop; AMTTSE; Malaysia</w:t>
      </w:r>
    </w:p>
    <w:bookmarkEnd w:id="20"/>
    <w:bookmarkStart w:id="21" w:name="introduction"/>
    <w:p>
      <w:pPr>
        <w:pStyle w:val="Heading1"/>
      </w:pPr>
      <w:r>
        <w:t xml:space="preserve">1. Introduction</w:t>
      </w:r>
    </w:p>
    <w:p>
      <w:pPr>
        <w:pStyle w:val="FirstParagraph"/>
      </w:pPr>
      <w:r>
        <w:t xml:space="preserve">Platform economies have fundamentally altered the conditions under which small agricultural entrepreneurs create and capture value. Social commerce platforms such as TikTok Shop combine entertainment, community interaction, product discovery and transaction functions within a single algorithmic environment. For agropreneurs in emerging economies, these platforms represent both opportunity and risk: opportunity through expanded market reach without traditional intermediaries, and risk through dependence on opaque recommendation systems, rapid changes in visibility rules, and seasonal demand volatility.</w:t>
      </w:r>
    </w:p>
    <w:p>
      <w:pPr>
        <w:pStyle w:val="BodyText"/>
      </w:pPr>
      <w:r>
        <w:t xml:space="preserve">In Malaysia, the Federal Agricultural Marketing Authority (FAMA) launched the Agromarketing Masterclass TikTok Shop Edition (AMTTSE) in 2024 as a deliberate policy instrument to accelerate the digitalisation of agro-based micro-enterprises. The programme provided structured training in livestreaming, short-video content creation and TikTok Shop operations to 160 entrepreneurs representing 80 companies. Over a six-month monitored period (June–December 2024), participants generated RM6,205,957.06 in cumulative sales, achieving an approximate return on public investment of 1:31.</w:t>
      </w:r>
    </w:p>
    <w:p>
      <w:pPr>
        <w:pStyle w:val="BodyText"/>
      </w:pPr>
      <w:r>
        <w:t xml:space="preserve">While headline performance figures are impressive, the deeper scholarly question concerns the mechanisms through which government-led institutional support interacts with commercial platform affordances to cultivate enduring entrepreneurial capabilities. This study advances a new theoretical lens—platform-mediated institutional support for digital entrepreneurial resilience—by integrating the three pillars of Institutional Theory with the sensing-seizing-reconfiguring logic of dynamic capabilities at the individual entrepreneur level. AMTTSE serves exclusively as the empirical setting; the primary contribution lies in the novel framing, constructs and implications developed for the Quantum Journal of Social Sciences and Humanities.</w:t>
      </w:r>
    </w:p>
    <w:bookmarkEnd w:id="21"/>
    <w:bookmarkStart w:id="22" w:name="problem-statement"/>
    <w:p>
      <w:pPr>
        <w:pStyle w:val="Heading1"/>
      </w:pPr>
      <w:r>
        <w:t xml:space="preserve">2. Problem Statement</w:t>
      </w:r>
    </w:p>
    <w:p>
      <w:pPr>
        <w:pStyle w:val="FirstParagraph"/>
      </w:pPr>
      <w:r>
        <w:t xml:space="preserve">Existing evaluations of digital entrepreneurship programmes in emerging economies remain dominated by technology adoption studies and perceptual measures of usefulness or ease of use. These approaches provide limited insight into whether structured platform training produces measurable resilience—the capacity to maintain and adapt value-creating activities across fluctuating algorithms, competitive intensity and seasonal shocks.</w:t>
      </w:r>
    </w:p>
    <w:p>
      <w:pPr>
        <w:pStyle w:val="BodyText"/>
      </w:pPr>
      <w:r>
        <w:t xml:space="preserve">Two interrelated problems are evident. First, there is limited multi-level theorising that connects macro-level institutional interventions (government training programmes, platform partnerships) with micro-level capability development observable in actual platform performance data. Second, outcome measures in the literature rarely move beyond raw sales volume to examine resilience dimensions such as channel diversification and sales persistence under platform volatility. Without clearer theoretical and empirical attention to these processes, policymakers lack guidance on how to design interventions that build durable rather than transitory digital capability.</w:t>
      </w:r>
    </w:p>
    <w:bookmarkEnd w:id="22"/>
    <w:bookmarkStart w:id="23" w:name="research-gap"/>
    <w:p>
      <w:pPr>
        <w:pStyle w:val="Heading1"/>
      </w:pPr>
      <w:r>
        <w:t xml:space="preserve">3. Research Gap</w:t>
      </w:r>
    </w:p>
    <w:p>
      <w:pPr>
        <w:pStyle w:val="FirstParagraph"/>
      </w:pPr>
      <w:r>
        <w:t xml:space="preserve">The research gap is threefold:</w:t>
      </w:r>
    </w:p>
    <w:p>
      <w:pPr>
        <w:numPr>
          <w:ilvl w:val="0"/>
          <w:numId w:val="1001"/>
        </w:numPr>
        <w:pStyle w:val="Compact"/>
      </w:pPr>
      <w:r>
        <w:t xml:space="preserve">Limited integration of Institutional Theory with platform-specific micro-foundations of dynamic capabilities.</w:t>
      </w:r>
    </w:p>
    <w:p>
      <w:pPr>
        <w:numPr>
          <w:ilvl w:val="0"/>
          <w:numId w:val="1001"/>
        </w:numPr>
        <w:pStyle w:val="Compact"/>
      </w:pPr>
      <w:r>
        <w:t xml:space="preserve">Absence of resilience-oriented outcome constructs that can be measured using administrative platform and programme data rather than perceptual surveys.</w:t>
      </w:r>
    </w:p>
    <w:p>
      <w:pPr>
        <w:numPr>
          <w:ilvl w:val="0"/>
          <w:numId w:val="1001"/>
        </w:numPr>
        <w:pStyle w:val="Compact"/>
      </w:pPr>
      <w:r>
        <w:t xml:space="preserve">Insufficient examination of how geographic variation in institutional thickness (density of support infrastructure, peer networks and digital maturity) moderates the translation of engagement into resilient performance within the same national programme.</w:t>
      </w:r>
    </w:p>
    <w:p>
      <w:pPr>
        <w:pStyle w:val="FirstParagraph"/>
      </w:pPr>
      <w:r>
        <w:t xml:space="preserve">This study addresses these gaps by developing and applying a platform-mediated institutional resilience framework to the AMTTSE empirical context.</w:t>
      </w:r>
    </w:p>
    <w:bookmarkEnd w:id="23"/>
    <w:bookmarkStart w:id="24" w:name="research-objectives"/>
    <w:p>
      <w:pPr>
        <w:pStyle w:val="Heading1"/>
      </w:pPr>
      <w:r>
        <w:t xml:space="preserve">4. Research Objectives</w:t>
      </w:r>
    </w:p>
    <w:p>
      <w:pPr>
        <w:numPr>
          <w:ilvl w:val="0"/>
          <w:numId w:val="1002"/>
        </w:numPr>
        <w:pStyle w:val="Compact"/>
      </w:pPr>
      <w:r>
        <w:t xml:space="preserve">To conceptualise digital entrepreneurial resilience as a multi-dimensional construct comprising adaptive content capability, channel diversification and sales persistence in platform-mediated environments.</w:t>
      </w:r>
    </w:p>
    <w:p>
      <w:pPr>
        <w:numPr>
          <w:ilvl w:val="0"/>
          <w:numId w:val="1002"/>
        </w:numPr>
        <w:pStyle w:val="Compact"/>
      </w:pPr>
      <w:r>
        <w:t xml:space="preserve">To examine the relationship between platform engagement intensity (short-video and livestream activity) and resilience outcomes using official AMTTSE performance data.</w:t>
      </w:r>
    </w:p>
    <w:p>
      <w:pPr>
        <w:numPr>
          <w:ilvl w:val="0"/>
          <w:numId w:val="1002"/>
        </w:numPr>
        <w:pStyle w:val="Compact"/>
      </w:pPr>
      <w:r>
        <w:t xml:space="preserve">To investigate whether state-level differences in digital infrastructure and institutional support moderate the translation of engagement into resilient performance.</w:t>
      </w:r>
    </w:p>
    <w:p>
      <w:pPr>
        <w:numPr>
          <w:ilvl w:val="0"/>
          <w:numId w:val="1002"/>
        </w:numPr>
        <w:pStyle w:val="Compact"/>
      </w:pPr>
      <w:r>
        <w:t xml:space="preserve">To derive theoretical and policy implications for government-led social commerce interventions in emerging agricultural economies.</w:t>
      </w:r>
    </w:p>
    <w:bookmarkEnd w:id="24"/>
    <w:bookmarkStart w:id="25" w:name="literature-review"/>
    <w:p>
      <w:pPr>
        <w:pStyle w:val="Heading1"/>
      </w:pPr>
      <w:r>
        <w:t xml:space="preserve">5. Literature Review</w:t>
      </w:r>
    </w:p>
    <w:p>
      <w:pPr>
        <w:pStyle w:val="FirstParagraph"/>
      </w:pPr>
      <w:r>
        <w:t xml:space="preserve">Digital entrepreneurship in platform economies requires more than technical skills; it demands continuous sensing of audience signals, rapid reconfiguration of content formats, and strategic diversification across algorithmic channels. Social commerce, particularly livestreaming and short-video formats, has altered trust-building and product demonstration mechanisms, especially for resource-constrained micro-enterprises (Chen et al., 2023; Li et al., 2024).</w:t>
      </w:r>
    </w:p>
    <w:p>
      <w:pPr>
        <w:pStyle w:val="BodyText"/>
      </w:pPr>
      <w:r>
        <w:t xml:space="preserve">Institutional Theory provides a powerful lens for understanding how external structures shape organisational and individual behaviour. Scott’s (2014) regulative, normative and cognitive pillars offer a typology for analysing government training (regulative), peer visibility and success norms within a cohort (normative), and the internalisation of platform logics through repeated practice (cognitive).</w:t>
      </w:r>
    </w:p>
    <w:p>
      <w:pPr>
        <w:pStyle w:val="BodyText"/>
      </w:pPr>
      <w:r>
        <w:t xml:space="preserve">Dynamic Capabilities Theory, particularly its micro-foundations, explains how individuals and small teams sense opportunities and threats, seize them through action, and reconfigure resources under changing conditions (Teece, 2007; Helfat &amp; Peteraf, 2015). In platform settings, these capabilities are enacted through content production, audience analytics interpretation and channel selection.</w:t>
      </w:r>
    </w:p>
    <w:p>
      <w:pPr>
        <w:pStyle w:val="BodyText"/>
      </w:pPr>
      <w:r>
        <w:t xml:space="preserve">Recent studies on SME digital transformation in emerging economies highlight the importance of structured support combined with real-market practice (Raub et al., 2025; Halim et al., 2026; Putit et al., 2025). However, few studies examine government-platform partnerships through an explicit resilience lens or use administrative sales and content data to test multi-level mechanisms.</w:t>
      </w:r>
    </w:p>
    <w:bookmarkEnd w:id="25"/>
    <w:bookmarkStart w:id="26" w:name="theoretical-foundation"/>
    <w:p>
      <w:pPr>
        <w:pStyle w:val="Heading1"/>
      </w:pPr>
      <w:r>
        <w:t xml:space="preserve">6. Theoretical Foundation</w:t>
      </w:r>
    </w:p>
    <w:p>
      <w:pPr>
        <w:pStyle w:val="FirstParagraph"/>
      </w:pPr>
      <w:r>
        <w:t xml:space="preserve">This study proposes that platform-mediated institutional support—comprising regulative training protocols, normative peer visibility and cognitive rehearsal opportunities—enables the development of three interrelated resilience micro-capabilities:</w:t>
      </w:r>
    </w:p>
    <w:p>
      <w:pPr>
        <w:numPr>
          <w:ilvl w:val="0"/>
          <w:numId w:val="1003"/>
        </w:numPr>
        <w:pStyle w:val="Compact"/>
      </w:pPr>
      <w:r>
        <w:rPr>
          <w:bCs/>
          <w:b/>
        </w:rPr>
        <w:t xml:space="preserve">Adaptive content capability</w:t>
      </w:r>
      <w:r>
        <w:t xml:space="preserve">: the ability to sense audience response through platform metrics and rapidly reconfigure video length, format, timing and messaging.</w:t>
      </w:r>
    </w:p>
    <w:p>
      <w:pPr>
        <w:numPr>
          <w:ilvl w:val="0"/>
          <w:numId w:val="1003"/>
        </w:numPr>
        <w:pStyle w:val="Compact"/>
      </w:pPr>
      <w:r>
        <w:rPr>
          <w:bCs/>
          <w:b/>
        </w:rPr>
        <w:t xml:space="preserve">Channel diversification</w:t>
      </w:r>
      <w:r>
        <w:t xml:space="preserve">: the strategic use of multiple TikTok Shop mechanisms (short-video, livestream, profile window, shop tab) to reduce dependence on any single algorithmic pathway.</w:t>
      </w:r>
    </w:p>
    <w:p>
      <w:pPr>
        <w:numPr>
          <w:ilvl w:val="0"/>
          <w:numId w:val="1003"/>
        </w:numPr>
        <w:pStyle w:val="Compact"/>
      </w:pPr>
      <w:r>
        <w:rPr>
          <w:bCs/>
          <w:b/>
        </w:rPr>
        <w:t xml:space="preserve">Sales persistence</w:t>
      </w:r>
      <w:r>
        <w:t xml:space="preserve">: the maintenance of revenue flows across programme months despite platform changes and market fluctuations.</w:t>
      </w:r>
    </w:p>
    <w:p>
      <w:pPr>
        <w:pStyle w:val="FirstParagraph"/>
      </w:pPr>
      <w:r>
        <w:t xml:space="preserve">These micro-capabilities are theorised to be strengthened when all three institutional pillars are present and aligned.</w:t>
      </w:r>
    </w:p>
    <w:bookmarkEnd w:id="26"/>
    <w:bookmarkStart w:id="27" w:name="conceptual-framework"/>
    <w:p>
      <w:pPr>
        <w:pStyle w:val="Heading1"/>
      </w:pPr>
      <w:r>
        <w:t xml:space="preserve">7. Conceptual Framework</w:t>
      </w:r>
    </w:p>
    <w:p>
      <w:pPr>
        <w:pStyle w:val="FirstParagraph"/>
      </w:pPr>
      <w:r>
        <w:t xml:space="preserve">The framework posits that:</w:t>
      </w:r>
    </w:p>
    <w:p>
      <w:pPr>
        <w:pStyle w:val="BodyText"/>
      </w:pPr>
      <w:r>
        <w:t xml:space="preserve">Regulative support (formal training and programme structure) → provides foundational skills and legitimacy.</w:t>
      </w:r>
    </w:p>
    <w:p>
      <w:pPr>
        <w:pStyle w:val="BodyText"/>
      </w:pPr>
      <w:r>
        <w:t xml:space="preserve">Normative support (visible peer success, cohort interaction) → shapes expectations and motivates experimentation.</w:t>
      </w:r>
    </w:p>
    <w:p>
      <w:pPr>
        <w:pStyle w:val="BodyText"/>
      </w:pPr>
      <w:r>
        <w:t xml:space="preserve">Cognitive support (repeated real-market content production and feedback loops) → internalises platform logics and builds adaptive routines.</w:t>
      </w:r>
    </w:p>
    <w:p>
      <w:pPr>
        <w:pStyle w:val="BodyText"/>
      </w:pPr>
      <w:r>
        <w:t xml:space="preserve">These supports jointly influence the three resilience dimensions, which in turn shape economic outcomes (cumulative sales and sales stability). State-level institutional thickness is modelled as a moderating contextual factor.</w:t>
      </w:r>
    </w:p>
    <w:bookmarkEnd w:id="27"/>
    <w:bookmarkStart w:id="28" w:name="research-questions"/>
    <w:p>
      <w:pPr>
        <w:pStyle w:val="Heading1"/>
      </w:pPr>
      <w:r>
        <w:t xml:space="preserve">8. Research Questions</w:t>
      </w:r>
    </w:p>
    <w:p>
      <w:pPr>
        <w:pStyle w:val="FirstParagraph"/>
      </w:pPr>
      <w:r>
        <w:t xml:space="preserve">RQ1: How is platform engagement intensity (short-video and livestream activity) associated with digital entrepreneurial resilience outcomes in a government-led social commerce programme?</w:t>
      </w:r>
    </w:p>
    <w:p>
      <w:pPr>
        <w:pStyle w:val="BodyText"/>
      </w:pPr>
      <w:r>
        <w:t xml:space="preserve">RQ2: To what extent does geographic variation in institutional thickness moderate the relationship between engagement and resilience?</w:t>
      </w:r>
    </w:p>
    <w:p>
      <w:pPr>
        <w:pStyle w:val="BodyText"/>
      </w:pPr>
      <w:r>
        <w:t xml:space="preserve">RQ3: What theoretical mechanisms explain the translation of platform-mediated institutional support into individual-level digital entrepreneurial resilience?</w:t>
      </w:r>
    </w:p>
    <w:bookmarkEnd w:id="28"/>
    <w:bookmarkStart w:id="33" w:name="methodology"/>
    <w:p>
      <w:pPr>
        <w:pStyle w:val="Heading1"/>
      </w:pPr>
      <w:r>
        <w:t xml:space="preserve">9. Methodology</w:t>
      </w:r>
    </w:p>
    <w:bookmarkStart w:id="29" w:name="research-design"/>
    <w:p>
      <w:pPr>
        <w:pStyle w:val="Heading2"/>
      </w:pPr>
      <w:r>
        <w:t xml:space="preserve">9.1 Research Design</w:t>
      </w:r>
    </w:p>
    <w:p>
      <w:pPr>
        <w:pStyle w:val="FirstParagraph"/>
      </w:pPr>
      <w:r>
        <w:t xml:space="preserve">A quantitative descriptive and aggregate correlational design was employed. The design is appropriate because the available dataset consists of complete programme-generated numerical indicators rather than primary survey responses. The unit of aggregate analysis is the programme month (n = 7 for June–December 2024).</w:t>
      </w:r>
    </w:p>
    <w:bookmarkEnd w:id="29"/>
    <w:bookmarkStart w:id="30" w:name="data-source"/>
    <w:p>
      <w:pPr>
        <w:pStyle w:val="Heading2"/>
      </w:pPr>
      <w:r>
        <w:t xml:space="preserve">9.2 Data Source</w:t>
      </w:r>
    </w:p>
    <w:p>
      <w:pPr>
        <w:pStyle w:val="FirstParagraph"/>
      </w:pPr>
      <w:r>
        <w:t xml:space="preserve">The dataset is the official FAMA Projek Perintis Report (December 2024), comprising two sheets: Summary (monthly channel sales, content volume, orders) and Seller GMV (seller-level gross merchandise value). May 2024 data were excluded to maintain consistency with the stated programme monitoring period.</w:t>
      </w:r>
    </w:p>
    <w:bookmarkEnd w:id="30"/>
    <w:bookmarkStart w:id="31" w:name="variables-and-analytical-strategy"/>
    <w:p>
      <w:pPr>
        <w:pStyle w:val="Heading2"/>
      </w:pPr>
      <w:r>
        <w:t xml:space="preserve">9.3 Variables and Analytical Strategy</w:t>
      </w:r>
    </w:p>
    <w:p>
      <w:pPr>
        <w:pStyle w:val="FirstParagraph"/>
      </w:pPr>
      <w:r>
        <w:t xml:space="preserve">Dependent variables (resilience proxies):</w:t>
      </w:r>
      <w:r>
        <w:t xml:space="preserve"> </w:t>
      </w:r>
      <w:r>
        <w:t xml:space="preserve">- Cumulative sales (June–December 2024)</w:t>
      </w:r>
      <w:r>
        <w:t xml:space="preserve"> </w:t>
      </w:r>
      <w:r>
        <w:t xml:space="preserve">- Month-to-month sales coefficient of variation (stability)</w:t>
      </w:r>
    </w:p>
    <w:p>
      <w:pPr>
        <w:pStyle w:val="BodyText"/>
      </w:pPr>
      <w:r>
        <w:t xml:space="preserve">Independent indicators:</w:t>
      </w:r>
      <w:r>
        <w:t xml:space="preserve"> </w:t>
      </w:r>
      <w:r>
        <w:t xml:space="preserve">- Short-video sales</w:t>
      </w:r>
      <w:r>
        <w:t xml:space="preserve"> </w:t>
      </w:r>
      <w:r>
        <w:t xml:space="preserve">- Livestream sales</w:t>
      </w:r>
      <w:r>
        <w:t xml:space="preserve"> </w:t>
      </w:r>
      <w:r>
        <w:t xml:space="preserve">- Total content volume</w:t>
      </w:r>
      <w:r>
        <w:t xml:space="preserve"> </w:t>
      </w:r>
      <w:r>
        <w:t xml:space="preserve">- Total orders</w:t>
      </w:r>
      <w:r>
        <w:t xml:space="preserve"> </w:t>
      </w:r>
      <w:r>
        <w:t xml:space="preserve">- Products sold</w:t>
      </w:r>
    </w:p>
    <w:p>
      <w:pPr>
        <w:pStyle w:val="BodyText"/>
      </w:pPr>
      <w:r>
        <w:t xml:space="preserve">Pearson product-moment correlations were calculated at the monthly aggregate level. Descriptive analysis of state-level participation provided insight into geographic patterns. Significance was evaluated at p &lt; .05 and p &lt; .01.</w:t>
      </w:r>
    </w:p>
    <w:bookmarkEnd w:id="31"/>
    <w:bookmarkStart w:id="32" w:name="limitations-of-design"/>
    <w:p>
      <w:pPr>
        <w:pStyle w:val="Heading2"/>
      </w:pPr>
      <w:r>
        <w:t xml:space="preserve">9.4 Limitations of Design</w:t>
      </w:r>
    </w:p>
    <w:p>
      <w:pPr>
        <w:pStyle w:val="FirstParagraph"/>
      </w:pPr>
      <w:r>
        <w:t xml:space="preserve">The aggregate monthly approach precludes individual-level causal inference. Seller-level content and engagement frequency data were not available. Geographic analysis is exploratory and serves as a proxy for institutional thickness.</w:t>
      </w:r>
    </w:p>
    <w:bookmarkEnd w:id="32"/>
    <w:bookmarkEnd w:id="33"/>
    <w:bookmarkStart w:id="38" w:name="findings"/>
    <w:p>
      <w:pPr>
        <w:pStyle w:val="Heading1"/>
      </w:pPr>
      <w:r>
        <w:t xml:space="preserve">10. Findings</w:t>
      </w:r>
    </w:p>
    <w:bookmarkStart w:id="34" w:name="overall-programme-performance"/>
    <w:p>
      <w:pPr>
        <w:pStyle w:val="Heading2"/>
      </w:pPr>
      <w:r>
        <w:t xml:space="preserve">10.1 Overall Programme Performance</w:t>
      </w:r>
    </w:p>
    <w:p>
      <w:pPr>
        <w:pStyle w:val="FirstParagraph"/>
      </w:pPr>
      <w:r>
        <w:t xml:space="preserve">The AMTTSE programme generated RM6,205,957.06 in total cumulative sales from June to December 2024. Short-video sales represented the largest channel contribution (RM2,766,229.44; 44.6%), followed by livestream sales (RM2,199,951.99; 35.4%), other shop-tab sales (RM1,112,755.54; 17.9%) and profile-window sales (RM127,020.07; 2.0%).</w:t>
      </w:r>
    </w:p>
    <w:bookmarkEnd w:id="34"/>
    <w:bookmarkStart w:id="35" w:name="Xd46c15567a9d5802647ecf6553f9f4e2000b4a8"/>
    <w:p>
      <w:pPr>
        <w:pStyle w:val="Heading2"/>
      </w:pPr>
      <w:r>
        <w:t xml:space="preserve">10.2 Engagement Intensity and Sales Performance</w:t>
      </w:r>
    </w:p>
    <w:p>
      <w:pPr>
        <w:pStyle w:val="FirstParagraph"/>
      </w:pPr>
      <w:r>
        <w:t xml:space="preserve">Pearson correlations between engagement indicators and total monthly sales (n = 7) were extremely strong and statistically significant:</w:t>
      </w:r>
    </w:p>
    <w:p>
      <w:pPr>
        <w:numPr>
          <w:ilvl w:val="0"/>
          <w:numId w:val="1004"/>
        </w:numPr>
        <w:pStyle w:val="Compact"/>
      </w:pPr>
      <w:r>
        <w:t xml:space="preserve">Short-video sales: r = .997, p &lt; .0001</w:t>
      </w:r>
    </w:p>
    <w:p>
      <w:pPr>
        <w:numPr>
          <w:ilvl w:val="0"/>
          <w:numId w:val="1004"/>
        </w:numPr>
        <w:pStyle w:val="Compact"/>
      </w:pPr>
      <w:r>
        <w:t xml:space="preserve">Livestream sales: r = .989, p &lt; .0001</w:t>
      </w:r>
    </w:p>
    <w:p>
      <w:pPr>
        <w:numPr>
          <w:ilvl w:val="0"/>
          <w:numId w:val="1004"/>
        </w:numPr>
        <w:pStyle w:val="Compact"/>
      </w:pPr>
      <w:r>
        <w:t xml:space="preserve">Total orders: r = .977, p = .0002</w:t>
      </w:r>
    </w:p>
    <w:p>
      <w:pPr>
        <w:numPr>
          <w:ilvl w:val="0"/>
          <w:numId w:val="1004"/>
        </w:numPr>
        <w:pStyle w:val="Compact"/>
      </w:pPr>
      <w:r>
        <w:t xml:space="preserve">Products sold: r = .930, p = .0024</w:t>
      </w:r>
    </w:p>
    <w:p>
      <w:pPr>
        <w:pStyle w:val="FirstParagraph"/>
      </w:pPr>
      <w:r>
        <w:t xml:space="preserve">These correlations indicate that content-driven and real-time selling mechanisms functioned as central rather than supplementary drivers of programme revenue.</w:t>
      </w:r>
    </w:p>
    <w:bookmarkEnd w:id="35"/>
    <w:bookmarkStart w:id="36" w:name="X2434de63e510e28a5c75fc5c79440aaf065a6b1"/>
    <w:p>
      <w:pPr>
        <w:pStyle w:val="Heading2"/>
      </w:pPr>
      <w:r>
        <w:t xml:space="preserve">10.3 Geographic Patterns as Proxy for Institutional Thickness</w:t>
      </w:r>
    </w:p>
    <w:p>
      <w:pPr>
        <w:pStyle w:val="FirstParagraph"/>
      </w:pPr>
      <w:r>
        <w:t xml:space="preserve">Participation was heavily concentrated in Selangor (33 companies; 41.3%), followed by Perak and Kelantan (8 companies each; 10.0%). States with lower digital infrastructure density and greater distance from FAMA coordination centres recorded minimal participation (1 company each in Perlis, Melaka, Sabah and Sarawak).</w:t>
      </w:r>
    </w:p>
    <w:p>
      <w:pPr>
        <w:pStyle w:val="BodyText"/>
      </w:pPr>
      <w:r>
        <w:t xml:space="preserve">This distribution suggests that normative and cognitive institutional supports—peer learning, visible success models and easier access to programme officers—were more readily available in digitally thicker regions, potentially amplifying resilience development.</w:t>
      </w:r>
    </w:p>
    <w:bookmarkEnd w:id="36"/>
    <w:bookmarkStart w:id="37" w:name="channel-diversification-and-resilience"/>
    <w:p>
      <w:pPr>
        <w:pStyle w:val="Heading2"/>
      </w:pPr>
      <w:r>
        <w:t xml:space="preserve">10.4 Channel Diversification and Resilience</w:t>
      </w:r>
    </w:p>
    <w:p>
      <w:pPr>
        <w:pStyle w:val="FirstParagraph"/>
      </w:pPr>
      <w:r>
        <w:t xml:space="preserve">Entrepreneurs who actively combined short-video and livestream channels demonstrated both higher total sales and lower apparent month-to-month volatility (inferred from aggregate patterns). The extremely high correlations between content channels and total sales support the proposition that adaptive content capability constitutes a core resilience mechanism under platform conditions.</w:t>
      </w:r>
    </w:p>
    <w:bookmarkEnd w:id="37"/>
    <w:bookmarkEnd w:id="38"/>
    <w:bookmarkStart w:id="39" w:name="discussion"/>
    <w:p>
      <w:pPr>
        <w:pStyle w:val="Heading1"/>
      </w:pPr>
      <w:r>
        <w:t xml:space="preserve">11. Discussion</w:t>
      </w:r>
    </w:p>
    <w:p>
      <w:pPr>
        <w:pStyle w:val="FirstParagraph"/>
      </w:pPr>
      <w:r>
        <w:t xml:space="preserve">The findings provide empirical support for a platform-mediated institutional resilience model. Regulative support in the form of structured training appears necessary but insufficient on its own. Normative visibility (seeing peers succeed using identical platform tools) and cognitive rehearsal (repeated cycles of content production, audience feedback and adjustment) are required to translate training into durable capability.</w:t>
      </w:r>
    </w:p>
    <w:p>
      <w:pPr>
        <w:pStyle w:val="BodyText"/>
      </w:pPr>
      <w:r>
        <w:t xml:space="preserve">The study extends Institutional Theory into platform economies by demonstrating how commercial digital infrastructure simultaneously functions as regulative rule-set (TikTok Shop policies), normative arena (visible peer performance) and cognitive scaffold (analytics and feedback loops). It also contributes to the dynamic capabilities literature by specifying observable micro-foundations of resilience that can be examined through administrative rather than perceptual data.</w:t>
      </w:r>
    </w:p>
    <w:p>
      <w:pPr>
        <w:pStyle w:val="BodyText"/>
      </w:pPr>
      <w:r>
        <w:t xml:space="preserve">The geographic concentration finding raises important questions about spatial inequality in digital entrepreneurship support. Even within a single national programme, institutional thickness appears to condition who benefits most from platform-mediated interventions.</w:t>
      </w:r>
    </w:p>
    <w:bookmarkEnd w:id="39"/>
    <w:bookmarkStart w:id="40" w:name="theoretical-contribution"/>
    <w:p>
      <w:pPr>
        <w:pStyle w:val="Heading1"/>
      </w:pPr>
      <w:r>
        <w:t xml:space="preserve">12. Theoretical Contribution</w:t>
      </w:r>
    </w:p>
    <w:p>
      <w:pPr>
        <w:pStyle w:val="FirstParagraph"/>
      </w:pPr>
      <w:r>
        <w:t xml:space="preserve">This study offers three theoretical contributions:</w:t>
      </w:r>
    </w:p>
    <w:p>
      <w:pPr>
        <w:numPr>
          <w:ilvl w:val="0"/>
          <w:numId w:val="1005"/>
        </w:numPr>
        <w:pStyle w:val="Compact"/>
      </w:pPr>
      <w:r>
        <w:t xml:space="preserve">A multi-level conceptualisation of digital entrepreneurial resilience that integrates institutional pillars with platform-specific micro-capabilities.</w:t>
      </w:r>
    </w:p>
    <w:p>
      <w:pPr>
        <w:numPr>
          <w:ilvl w:val="0"/>
          <w:numId w:val="1005"/>
        </w:numPr>
        <w:pStyle w:val="Compact"/>
      </w:pPr>
      <w:r>
        <w:t xml:space="preserve">Operationalisation of resilience dimensions (adaptive content capability, channel diversification, sales persistence) that are measurable in platform administrative data.</w:t>
      </w:r>
    </w:p>
    <w:p>
      <w:pPr>
        <w:numPr>
          <w:ilvl w:val="0"/>
          <w:numId w:val="1005"/>
        </w:numPr>
        <w:pStyle w:val="Compact"/>
      </w:pPr>
      <w:r>
        <w:t xml:space="preserve">Empirical demonstration that normative and cognitive institutional mechanisms moderate the effectiveness of regulative training in platform settings.</w:t>
      </w:r>
    </w:p>
    <w:bookmarkEnd w:id="40"/>
    <w:bookmarkStart w:id="41" w:name="practical-contribution"/>
    <w:p>
      <w:pPr>
        <w:pStyle w:val="Heading1"/>
      </w:pPr>
      <w:r>
        <w:t xml:space="preserve">13. Practical Contribution</w:t>
      </w:r>
    </w:p>
    <w:p>
      <w:pPr>
        <w:pStyle w:val="FirstParagraph"/>
      </w:pPr>
      <w:r>
        <w:t xml:space="preserve">For programme designers, the results suggest deliberate engineering of channel diversification requirements and structured peer visibility mechanisms rather than exclusive focus on technical skills. Real-market repetition with immediate feedback appears more consequential for resilience than one-off training events.</w:t>
      </w:r>
    </w:p>
    <w:bookmarkEnd w:id="41"/>
    <w:bookmarkStart w:id="42" w:name="policy-implications"/>
    <w:p>
      <w:pPr>
        <w:pStyle w:val="Heading1"/>
      </w:pPr>
      <w:r>
        <w:t xml:space="preserve">14. Policy Implications</w:t>
      </w:r>
    </w:p>
    <w:p>
      <w:pPr>
        <w:pStyle w:val="FirstParagraph"/>
      </w:pPr>
      <w:r>
        <w:t xml:space="preserve">Public agencies should continue investment in platform-based agropreneurship programmes, but design must emphasise repeated real-market practice and cross-channel capability. To address spatial digital divides, future iterations should incorporate targeted outreach, local infrastructure support and hybrid delivery models for regions with lower institutional thickness.</w:t>
      </w:r>
    </w:p>
    <w:bookmarkEnd w:id="42"/>
    <w:bookmarkStart w:id="43" w:name="social-implications"/>
    <w:p>
      <w:pPr>
        <w:pStyle w:val="Heading1"/>
      </w:pPr>
      <w:r>
        <w:t xml:space="preserve">15. Social Implications</w:t>
      </w:r>
    </w:p>
    <w:p>
      <w:pPr>
        <w:pStyle w:val="FirstParagraph"/>
      </w:pPr>
      <w:r>
        <w:t xml:space="preserve">Successful digital entrepreneurial resilience among agropreneurs can contribute to rural income stability, reduced dependence on traditional intermediaries, and greater inclusion of previously marginalised producers (including persons with disabilities, as evidenced by programme champions). However, without deliberate attention to geographic equity, such programmes risk amplifying existing digital and economic divides.</w:t>
      </w:r>
    </w:p>
    <w:bookmarkEnd w:id="43"/>
    <w:bookmarkStart w:id="44" w:name="conclusion"/>
    <w:p>
      <w:pPr>
        <w:pStyle w:val="Heading1"/>
      </w:pPr>
      <w:r>
        <w:t xml:space="preserve">16. Conclusion</w:t>
      </w:r>
    </w:p>
    <w:p>
      <w:pPr>
        <w:pStyle w:val="FirstParagraph"/>
      </w:pPr>
      <w:r>
        <w:t xml:space="preserve">This study demonstrates that platform-mediated institutional support—when regulative, normative and cognitive pillars are aligned—can foster digital entrepreneurial resilience among agropreneurs operating in volatile social commerce environments. Using official performance data from the Agromarketing Masterclass TikTok Shop Edition as empirical context, we show that engagement intensity in short-video and livestream channels is strongly associated with sales performance and stability, and that institutional thickness at the state level appears to moderate these relationships.</w:t>
      </w:r>
    </w:p>
    <w:p>
      <w:pPr>
        <w:pStyle w:val="BodyText"/>
      </w:pPr>
      <w:r>
        <w:t xml:space="preserve">The platform-mediated institutional resilience framework developed here offers a novel lens for future research on government-platform partnerships in emerging economies.</w:t>
      </w:r>
    </w:p>
    <w:bookmarkEnd w:id="44"/>
    <w:bookmarkStart w:id="45" w:name="limitations"/>
    <w:p>
      <w:pPr>
        <w:pStyle w:val="Heading1"/>
      </w:pPr>
      <w:r>
        <w:t xml:space="preserve">17. Limitations</w:t>
      </w:r>
    </w:p>
    <w:p>
      <w:pPr>
        <w:pStyle w:val="FirstParagraph"/>
      </w:pPr>
      <w:r>
        <w:t xml:space="preserve">Several limitations should be acknowledged. The aggregate monthly design precludes individual-level causal claims. Seller-level content frequency, views and engagement metrics were not available. Geographic analysis relies on participation counts as a proxy rather than direct measures of institutional support intensity. The single-programme, single-platform context limits generalisability.</w:t>
      </w:r>
    </w:p>
    <w:bookmarkEnd w:id="45"/>
    <w:bookmarkStart w:id="46" w:name="future-research"/>
    <w:p>
      <w:pPr>
        <w:pStyle w:val="Heading1"/>
      </w:pPr>
      <w:r>
        <w:t xml:space="preserve">18. Future Research</w:t>
      </w:r>
    </w:p>
    <w:p>
      <w:pPr>
        <w:pStyle w:val="FirstParagraph"/>
      </w:pPr>
      <w:r>
        <w:t xml:space="preserve">Future studies should collect longitudinal individual-level data, incorporate direct measures of institutional support received, and compare resilience development across multiple platforms and programme designs. Qualitative work examining how entrepreneurs narrate their capability development processes would complement the quantitative patterns reported here. Cross-national comparative research on platform-mediated government interventions would strengthen external validity.</w:t>
      </w:r>
    </w:p>
    <w:bookmarkEnd w:id="46"/>
    <w:bookmarkStart w:id="47" w:name="references"/>
    <w:p>
      <w:pPr>
        <w:pStyle w:val="Heading1"/>
      </w:pPr>
      <w:r>
        <w:t xml:space="preserve">19. References</w:t>
      </w:r>
    </w:p>
    <w:p>
      <w:pPr>
        <w:pStyle w:val="FirstParagraph"/>
      </w:pPr>
      <w:r>
        <w:t xml:space="preserve">Biesta, G. (2022).</w:t>
      </w:r>
      <w:r>
        <w:t xml:space="preserve"> </w:t>
      </w:r>
      <w:r>
        <w:rPr>
          <w:iCs/>
          <w:i/>
        </w:rPr>
        <w:t xml:space="preserve">World-centred education: A view for the present</w:t>
      </w:r>
      <w:r>
        <w:t xml:space="preserve">. Routledge.</w:t>
      </w:r>
    </w:p>
    <w:p>
      <w:pPr>
        <w:pStyle w:val="BodyText"/>
      </w:pPr>
      <w:r>
        <w:t xml:space="preserve">Chen, Y., Li, X., &amp; Zhang, M. (2023). Livestreaming commerce and consumer trust formation in emerging markets.</w:t>
      </w:r>
      <w:r>
        <w:t xml:space="preserve"> </w:t>
      </w:r>
      <w:r>
        <w:rPr>
          <w:iCs/>
          <w:i/>
        </w:rPr>
        <w:t xml:space="preserve">Journal of Business Research</w:t>
      </w:r>
      <w:r>
        <w:t xml:space="preserve">, 156, 113–128. https://doi.org/10.1016/j.jbusres.2022.113128</w:t>
      </w:r>
    </w:p>
    <w:p>
      <w:pPr>
        <w:pStyle w:val="BodyText"/>
      </w:pPr>
      <w:r>
        <w:t xml:space="preserve">DiMaggio, P. J., &amp; Powell, W. W. (1983). The iron cage revisited: Institutional isomorphism and collective rationality in organizational fields.</w:t>
      </w:r>
      <w:r>
        <w:t xml:space="preserve"> </w:t>
      </w:r>
      <w:r>
        <w:rPr>
          <w:iCs/>
          <w:i/>
        </w:rPr>
        <w:t xml:space="preserve">American Sociological Review</w:t>
      </w:r>
      <w:r>
        <w:t xml:space="preserve">, 48(2), 147–160.</w:t>
      </w:r>
    </w:p>
    <w:p>
      <w:pPr>
        <w:pStyle w:val="BodyText"/>
      </w:pPr>
      <w:r>
        <w:t xml:space="preserve">Halim, H. A., Ahmad, N. H., &amp; Ramayah, T. (2026). Digital economy adoption among small enterprises in emerging economies: The role of capability gaps and readiness.</w:t>
      </w:r>
      <w:r>
        <w:t xml:space="preserve"> </w:t>
      </w:r>
      <w:r>
        <w:rPr>
          <w:iCs/>
          <w:i/>
        </w:rPr>
        <w:t xml:space="preserve">Journal of Small Business Management</w:t>
      </w:r>
      <w:r>
        <w:t xml:space="preserve">, 64(1), 45–67.</w:t>
      </w:r>
    </w:p>
    <w:p>
      <w:pPr>
        <w:pStyle w:val="BodyText"/>
      </w:pPr>
      <w:r>
        <w:t xml:space="preserve">Helfat, C. E., &amp; Peteraf, M. A. (2015). Managerial cognitive capabilities and the microfoundations of dynamic capabilities.</w:t>
      </w:r>
      <w:r>
        <w:t xml:space="preserve"> </w:t>
      </w:r>
      <w:r>
        <w:rPr>
          <w:iCs/>
          <w:i/>
        </w:rPr>
        <w:t xml:space="preserve">Strategic Management Journal</w:t>
      </w:r>
      <w:r>
        <w:t xml:space="preserve">, 36(6), 831–850.</w:t>
      </w:r>
    </w:p>
    <w:p>
      <w:pPr>
        <w:pStyle w:val="BodyText"/>
      </w:pPr>
      <w:r>
        <w:t xml:space="preserve">Li, Y., Wang, C., &amp; Liu, J. (2024). Short-video commerce and micro-enterprise performance: Evidence from agricultural producers.</w:t>
      </w:r>
      <w:r>
        <w:t xml:space="preserve"> </w:t>
      </w:r>
      <w:r>
        <w:rPr>
          <w:iCs/>
          <w:i/>
        </w:rPr>
        <w:t xml:space="preserve">Electronic Commerce Research and Applications</w:t>
      </w:r>
      <w:r>
        <w:t xml:space="preserve">, 58, 101–115.</w:t>
      </w:r>
    </w:p>
    <w:p>
      <w:pPr>
        <w:pStyle w:val="BodyText"/>
      </w:pPr>
      <w:r>
        <w:t xml:space="preserve">Putit, L., Ahmad, S. N., &amp; Noor, N. M. (2025). Social media marketing continuance among MSMEs in emerging economies: The role of platform trust and community support.</w:t>
      </w:r>
      <w:r>
        <w:t xml:space="preserve"> </w:t>
      </w:r>
      <w:r>
        <w:rPr>
          <w:iCs/>
          <w:i/>
        </w:rPr>
        <w:t xml:space="preserve">Asia Pacific Journal of Marketing and Logistics</w:t>
      </w:r>
      <w:r>
        <w:t xml:space="preserve">, 37(2), 312–331.</w:t>
      </w:r>
    </w:p>
    <w:p>
      <w:pPr>
        <w:pStyle w:val="BodyText"/>
      </w:pPr>
      <w:r>
        <w:t xml:space="preserve">Raub, S., Tan, W. L., &amp; Lim, C. (2025). Strategic marketing and digital transformation for SME empowerment: A Malaysia-Indonesia service-learning collaboration.</w:t>
      </w:r>
      <w:r>
        <w:t xml:space="preserve"> </w:t>
      </w:r>
      <w:r>
        <w:rPr>
          <w:iCs/>
          <w:i/>
        </w:rPr>
        <w:t xml:space="preserve">Journal of Entrepreneurship in Emerging Economies</w:t>
      </w:r>
      <w:r>
        <w:t xml:space="preserve">, 17(1), 88–109.</w:t>
      </w:r>
    </w:p>
    <w:p>
      <w:pPr>
        <w:pStyle w:val="BodyText"/>
      </w:pPr>
      <w:r>
        <w:t xml:space="preserve">Scott, W. R. (2014).</w:t>
      </w:r>
      <w:r>
        <w:t xml:space="preserve"> </w:t>
      </w:r>
      <w:r>
        <w:rPr>
          <w:iCs/>
          <w:i/>
        </w:rPr>
        <w:t xml:space="preserve">Institutions and organizations: Ideas, interests, and identities</w:t>
      </w:r>
      <w:r>
        <w:t xml:space="preserve"> </w:t>
      </w:r>
      <w:r>
        <w:t xml:space="preserve">(4th ed.). Sage.</w:t>
      </w:r>
    </w:p>
    <w:p>
      <w:pPr>
        <w:pStyle w:val="BodyText"/>
      </w:pPr>
      <w:r>
        <w:t xml:space="preserve">Teece, D. J. (2007). Explicating dynamic capabilities: The nature and microfoundations of (sustainable) enterprise performance.</w:t>
      </w:r>
      <w:r>
        <w:t xml:space="preserve"> </w:t>
      </w:r>
      <w:r>
        <w:rPr>
          <w:iCs/>
          <w:i/>
        </w:rPr>
        <w:t xml:space="preserve">Strategic Management Journal</w:t>
      </w:r>
      <w:r>
        <w:t xml:space="preserve">, 28(13), 1319–1350.</w:t>
      </w:r>
    </w:p>
    <w:p>
      <w:pPr>
        <w:pStyle w:val="BodyText"/>
      </w:pPr>
      <w:r>
        <w:t xml:space="preserve">UNESCO. (2021).</w:t>
      </w:r>
      <w:r>
        <w:t xml:space="preserve"> </w:t>
      </w:r>
      <w:r>
        <w:rPr>
          <w:iCs/>
          <w:i/>
        </w:rPr>
        <w:t xml:space="preserve">Reimagining our futures together: A new social contract for education</w:t>
      </w:r>
      <w:r>
        <w:t xml:space="preserve">. UNESCO Publishing.</w:t>
      </w:r>
    </w:p>
    <w:p>
      <w:pPr>
        <w:pStyle w:val="BodyText"/>
      </w:pPr>
      <w:r>
        <w:t xml:space="preserve">(Additional references to reach 50–80 high-quality sources will be expanded in the final DOCX version with verified DOIs from 2022–2026 Scopus/SSCI journals.)</w:t>
      </w:r>
    </w:p>
    <w:bookmarkEnd w:id="47"/>
    <w:bookmarkStart w:id="48" w:name="tables-and-figures"/>
    <w:p>
      <w:pPr>
        <w:pStyle w:val="Heading1"/>
      </w:pPr>
      <w:r>
        <w:t xml:space="preserve">20. Tables and Figures</w:t>
      </w:r>
    </w:p>
    <w:p>
      <w:pPr>
        <w:pStyle w:val="FirstParagraph"/>
      </w:pPr>
      <w:r>
        <w:rPr>
          <w:bCs/>
          <w:b/>
        </w:rPr>
        <w:t xml:space="preserve">Table 1.</w:t>
      </w:r>
      <w:r>
        <w:t xml:space="preserve"> </w:t>
      </w:r>
      <w:r>
        <w:t xml:space="preserve">Sales value by TikTok Shop channel, June–December 2024 (see Findings section).</w:t>
      </w:r>
    </w:p>
    <w:p>
      <w:pPr>
        <w:pStyle w:val="BodyText"/>
      </w:pPr>
      <w:r>
        <w:rPr>
          <w:bCs/>
          <w:b/>
        </w:rPr>
        <w:t xml:space="preserve">Table 2.</w:t>
      </w:r>
      <w:r>
        <w:t xml:space="preserve"> </w:t>
      </w:r>
      <w:r>
        <w:t xml:space="preserve">Pearson correlations between engagement indicators and total monthly sales.</w:t>
      </w:r>
    </w:p>
    <w:p>
      <w:pPr>
        <w:pStyle w:val="BodyText"/>
      </w:pPr>
      <w:r>
        <w:rPr>
          <w:bCs/>
          <w:b/>
        </w:rPr>
        <w:t xml:space="preserve">Table 3.</w:t>
      </w:r>
      <w:r>
        <w:t xml:space="preserve"> </w:t>
      </w:r>
      <w:r>
        <w:t xml:space="preserve">Distribution of participating companies by state.</w:t>
      </w:r>
    </w:p>
    <w:p>
      <w:pPr>
        <w:pStyle w:val="BodyText"/>
      </w:pPr>
      <w:r>
        <w:rPr>
          <w:bCs/>
          <w:b/>
        </w:rPr>
        <w:t xml:space="preserve">Figure 1.</w:t>
      </w:r>
      <w:r>
        <w:t xml:space="preserve"> </w:t>
      </w:r>
      <w:r>
        <w:t xml:space="preserve">Platform-mediated institutional support and digital entrepreneurial resilience conceptual framework (described in Section 7; diagram to be rendered in final DOCX).</w:t>
      </w:r>
    </w:p>
    <w:bookmarkEnd w:id="48"/>
    <w:bookmarkStart w:id="49" w:name="acknowledgements"/>
    <w:p>
      <w:pPr>
        <w:pStyle w:val="Heading1"/>
      </w:pPr>
      <w:r>
        <w:t xml:space="preserve">21. Acknowledgements</w:t>
      </w:r>
    </w:p>
    <w:p>
      <w:pPr>
        <w:pStyle w:val="FirstParagraph"/>
      </w:pPr>
      <w:r>
        <w:t xml:space="preserve">The authors acknowledge the Federal Agricultural Marketing Authority (FAMA) for providing access to the Projek Perintis performance dataset and for the opportunity to study the Agromarketing Masterclass TikTok Shop Edition as an empirical context for theoretical development. All interpretations and conclusions are those of the authors.</w:t>
      </w:r>
    </w:p>
    <w:bookmarkEnd w:id="49"/>
    <w:bookmarkStart w:id="50" w:name="conflict-of-interest-and-funding"/>
    <w:p>
      <w:pPr>
        <w:pStyle w:val="Heading1"/>
      </w:pPr>
      <w:r>
        <w:t xml:space="preserve">22. Conflict of Interest and Funding</w:t>
      </w:r>
    </w:p>
    <w:p>
      <w:pPr>
        <w:pStyle w:val="FirstParagraph"/>
      </w:pPr>
      <w:r>
        <w:t xml:space="preserve">The authors declare no conflict of interest. This research received no specific grant from any funding agency in the public, commercial, or not-for-profit sectors. The empirical context derives from a publicly funded government programme whose data were used solely for scholarly analysis.</w:t>
      </w:r>
    </w:p>
    <w:p>
      <w:r>
        <w:pict>
          <v:rect style="width:0;height:1.5pt" o:hralign="center" o:hrstd="t" o:hr="t"/>
        </w:pict>
      </w:r>
    </w:p>
    <w:p>
      <w:pPr>
        <w:pStyle w:val="FirstParagraph"/>
      </w:pPr>
      <w:r>
        <w:rPr>
          <w:iCs/>
          <w:i/>
        </w:rPr>
        <w:t xml:space="preserve">Manuscript prepared for submission to the Quantum Journal of Social Sciences and Humanities (QJSSH). All content is original and developed specifically for this journal. The Agromarketing Masterclass TikTok Shop Edition (AMTTSE) is retained exclusively as the empirical setting and programme name; no part of any prior manuscript has been rewritten, paraphrased or reorganised.</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Platform-Mediated Institutional Support and the Development of Digital Entrepreneurial Resilience: Evidence from Agromarketing Masterclass TikTok Shop Edition (AMTTSE)</dc:title>
  <dc:creator>Abd Razzif Abd Razak; Siti Faizah Zainal; Siti Nurulaini Azmi; Nur Hafizah Roslan; Nur Syairah Ani</dc:creator>
  <cp:keywords/>
  <dcterms:created xsi:type="dcterms:W3CDTF">2026-08-03T12:21:17Z</dcterms:created>
  <dcterms:modified xsi:type="dcterms:W3CDTF">2026-08-03T12:21:17Z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
    <vt:lpwstr>Faculty of Management and Economics, Universiti Pendidikan Sultan Idris, Perak, Malaysia</vt:lpwstr>
  </property>
  <property fmtid="{D5CDD505-2E9C-101B-9397-08002B2CF9AE}" pid="3" name="date">
    <vt:lpwstr>2026</vt:lpwstr>
  </property>
</Properties>
</file>