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407"/>
        <w:gridCol w:w="2093"/>
        <w:gridCol w:w="1167"/>
        <w:gridCol w:w="3868"/>
        <w:gridCol w:w="2183"/>
        <w:gridCol w:w="28"/>
      </w:tblGrid>
      <w:tr w:rsidR="0006581C" w14:paraId="30D98F39" w14:textId="77777777" w:rsidTr="00671F43">
        <w:trPr>
          <w:trHeight w:val="1008"/>
          <w:jc w:val="center"/>
        </w:trPr>
        <w:tc>
          <w:tcPr>
            <w:tcW w:w="2338" w:type="dxa"/>
            <w:gridSpan w:val="2"/>
            <w:vMerge w:val="restart"/>
            <w:tcBorders>
              <w:top w:val="single" w:sz="18" w:space="0" w:color="auto"/>
              <w:right w:val="nil"/>
            </w:tcBorders>
            <w:vAlign w:val="center"/>
          </w:tcPr>
          <w:p w14:paraId="6A6CCD78" w14:textId="2DB99A7B" w:rsidR="00D72741" w:rsidRDefault="00067BCB" w:rsidP="009E2B42">
            <w:pPr>
              <w:ind w:left="-115"/>
            </w:pPr>
            <w:r w:rsidRPr="000D72AC">
              <w:rPr>
                <w:noProof/>
              </w:rPr>
              <w:drawing>
                <wp:inline distT="0" distB="0" distL="0" distR="0" wp14:anchorId="44682CBC" wp14:editId="6B891025">
                  <wp:extent cx="1154273" cy="1127573"/>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54273" cy="1127573"/>
                          </a:xfrm>
                          <a:prstGeom prst="rect">
                            <a:avLst/>
                          </a:prstGeom>
                          <a:noFill/>
                          <a:ln>
                            <a:noFill/>
                          </a:ln>
                        </pic:spPr>
                      </pic:pic>
                    </a:graphicData>
                  </a:graphic>
                </wp:inline>
              </w:drawing>
            </w:r>
          </w:p>
        </w:tc>
        <w:tc>
          <w:tcPr>
            <w:tcW w:w="5177" w:type="dxa"/>
            <w:gridSpan w:val="2"/>
            <w:tcBorders>
              <w:top w:val="single" w:sz="18" w:space="0" w:color="auto"/>
              <w:left w:val="nil"/>
              <w:bottom w:val="nil"/>
              <w:right w:val="nil"/>
            </w:tcBorders>
            <w:vAlign w:val="center"/>
          </w:tcPr>
          <w:p w14:paraId="6B13618A" w14:textId="4BECFD98" w:rsidR="00D72741" w:rsidRPr="006F56D7" w:rsidRDefault="001B6CEC" w:rsidP="007F6D7A">
            <w:pPr>
              <w:spacing w:before="280"/>
              <w:jc w:val="center"/>
              <w:rPr>
                <w:rFonts w:asciiTheme="majorBidi" w:hAnsiTheme="majorBidi" w:cstheme="majorBidi"/>
              </w:rPr>
            </w:pPr>
            <w:r>
              <w:rPr>
                <w:rFonts w:asciiTheme="majorBidi" w:hAnsiTheme="majorBidi" w:cstheme="majorBidi"/>
                <w:sz w:val="28"/>
                <w:szCs w:val="24"/>
              </w:rPr>
              <w:t xml:space="preserve">Journal of </w:t>
            </w:r>
            <w:r w:rsidR="004555F9">
              <w:rPr>
                <w:rFonts w:asciiTheme="majorBidi" w:hAnsiTheme="majorBidi" w:cstheme="majorBidi"/>
                <w:sz w:val="28"/>
                <w:szCs w:val="24"/>
              </w:rPr>
              <w:t>A</w:t>
            </w:r>
            <w:r w:rsidR="00067BCB">
              <w:rPr>
                <w:rFonts w:asciiTheme="majorBidi" w:hAnsiTheme="majorBidi" w:cstheme="majorBidi"/>
                <w:sz w:val="28"/>
                <w:szCs w:val="24"/>
              </w:rPr>
              <w:t xml:space="preserve">dvanced Research in </w:t>
            </w:r>
            <w:r w:rsidR="00E57975">
              <w:rPr>
                <w:rFonts w:asciiTheme="majorBidi" w:hAnsiTheme="majorBidi" w:cstheme="majorBidi"/>
                <w:sz w:val="28"/>
                <w:szCs w:val="24"/>
              </w:rPr>
              <w:t>Business</w:t>
            </w:r>
            <w:r w:rsidR="001738A6">
              <w:rPr>
                <w:rFonts w:asciiTheme="majorBidi" w:hAnsiTheme="majorBidi" w:cstheme="majorBidi"/>
                <w:sz w:val="28"/>
                <w:szCs w:val="24"/>
              </w:rPr>
              <w:t xml:space="preserve"> </w:t>
            </w:r>
            <w:r w:rsidR="00067BCB">
              <w:rPr>
                <w:rFonts w:asciiTheme="majorBidi" w:hAnsiTheme="majorBidi" w:cstheme="majorBidi"/>
                <w:sz w:val="28"/>
                <w:szCs w:val="24"/>
              </w:rPr>
              <w:t>and Management</w:t>
            </w:r>
            <w:r w:rsidR="00783C7C">
              <w:rPr>
                <w:rFonts w:asciiTheme="majorBidi" w:hAnsiTheme="majorBidi" w:cstheme="majorBidi"/>
                <w:sz w:val="28"/>
                <w:szCs w:val="24"/>
              </w:rPr>
              <w:t xml:space="preserve"> </w:t>
            </w:r>
            <w:r w:rsidR="00E57975">
              <w:rPr>
                <w:rFonts w:asciiTheme="majorBidi" w:hAnsiTheme="majorBidi" w:cstheme="majorBidi"/>
                <w:sz w:val="28"/>
                <w:szCs w:val="24"/>
              </w:rPr>
              <w:t>Studies</w:t>
            </w:r>
          </w:p>
        </w:tc>
        <w:tc>
          <w:tcPr>
            <w:tcW w:w="2231" w:type="dxa"/>
            <w:gridSpan w:val="2"/>
            <w:vMerge w:val="restart"/>
            <w:tcBorders>
              <w:top w:val="single" w:sz="18" w:space="0" w:color="auto"/>
              <w:left w:val="nil"/>
            </w:tcBorders>
            <w:vAlign w:val="center"/>
          </w:tcPr>
          <w:p w14:paraId="6191C904" w14:textId="5EFD3AF2" w:rsidR="00D72741" w:rsidRPr="006F672B" w:rsidRDefault="00E57975" w:rsidP="009E2B42">
            <w:pPr>
              <w:ind w:right="-115"/>
              <w:jc w:val="right"/>
            </w:pPr>
            <w:r w:rsidRPr="00E57975">
              <w:rPr>
                <w:noProof/>
              </w:rPr>
              <w:drawing>
                <wp:inline distT="0" distB="0" distL="0" distR="0" wp14:anchorId="33CB482E" wp14:editId="29293473">
                  <wp:extent cx="886968" cy="1255916"/>
                  <wp:effectExtent l="0" t="0" r="2540" b="1905"/>
                  <wp:docPr id="301234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234431" name=""/>
                          <pic:cNvPicPr/>
                        </pic:nvPicPr>
                        <pic:blipFill>
                          <a:blip r:embed="rId9"/>
                          <a:stretch>
                            <a:fillRect/>
                          </a:stretch>
                        </pic:blipFill>
                        <pic:spPr>
                          <a:xfrm>
                            <a:off x="0" y="0"/>
                            <a:ext cx="886968" cy="1255916"/>
                          </a:xfrm>
                          <a:prstGeom prst="rect">
                            <a:avLst/>
                          </a:prstGeom>
                        </pic:spPr>
                      </pic:pic>
                    </a:graphicData>
                  </a:graphic>
                </wp:inline>
              </w:drawing>
            </w:r>
          </w:p>
        </w:tc>
      </w:tr>
      <w:tr w:rsidR="0006581C" w14:paraId="233D5FD0" w14:textId="77777777" w:rsidTr="00671F43">
        <w:trPr>
          <w:trHeight w:val="20"/>
          <w:jc w:val="center"/>
        </w:trPr>
        <w:tc>
          <w:tcPr>
            <w:tcW w:w="2338" w:type="dxa"/>
            <w:gridSpan w:val="2"/>
            <w:vMerge/>
            <w:tcBorders>
              <w:bottom w:val="single" w:sz="18" w:space="0" w:color="auto"/>
              <w:right w:val="nil"/>
            </w:tcBorders>
          </w:tcPr>
          <w:p w14:paraId="25583F59" w14:textId="77777777" w:rsidR="00D72741" w:rsidRDefault="00D72741" w:rsidP="009E2B42"/>
        </w:tc>
        <w:tc>
          <w:tcPr>
            <w:tcW w:w="5177" w:type="dxa"/>
            <w:gridSpan w:val="2"/>
            <w:tcBorders>
              <w:top w:val="nil"/>
              <w:left w:val="nil"/>
              <w:bottom w:val="single" w:sz="18" w:space="0" w:color="auto"/>
              <w:right w:val="nil"/>
            </w:tcBorders>
            <w:vAlign w:val="center"/>
          </w:tcPr>
          <w:p w14:paraId="10176B38" w14:textId="77777777" w:rsidR="00CA24FB" w:rsidRDefault="00D72741" w:rsidP="007F6D7A">
            <w:pPr>
              <w:spacing w:before="120"/>
              <w:jc w:val="center"/>
              <w:rPr>
                <w:i/>
                <w:iCs/>
                <w:kern w:val="2"/>
                <w:sz w:val="24"/>
                <w:szCs w:val="24"/>
                <w:lang w:val="en-MY"/>
                <w14:ligatures w14:val="standardContextual"/>
              </w:rPr>
            </w:pPr>
            <w:r>
              <w:rPr>
                <w:sz w:val="16"/>
                <w:szCs w:val="14"/>
              </w:rPr>
              <w:t>J</w:t>
            </w:r>
            <w:r w:rsidRPr="006F56D7">
              <w:rPr>
                <w:sz w:val="16"/>
                <w:szCs w:val="14"/>
              </w:rPr>
              <w:t>ournal homepage:</w:t>
            </w:r>
            <w:r w:rsidR="00A9025E">
              <w:rPr>
                <w:sz w:val="16"/>
                <w:szCs w:val="14"/>
              </w:rPr>
              <w:t xml:space="preserve"> </w:t>
            </w:r>
            <w:r w:rsidR="00115707" w:rsidRPr="00115707">
              <w:rPr>
                <w:i/>
                <w:iCs/>
                <w:kern w:val="2"/>
                <w:sz w:val="24"/>
                <w:szCs w:val="24"/>
                <w:lang w:val="en-MY"/>
                <w14:ligatures w14:val="standardContextual"/>
              </w:rPr>
              <w:t xml:space="preserve"> </w:t>
            </w:r>
          </w:p>
          <w:p w14:paraId="24AC9519" w14:textId="1B7A2377" w:rsidR="001738A6" w:rsidRPr="004006AB" w:rsidRDefault="001738A6" w:rsidP="007F6D7A">
            <w:pPr>
              <w:jc w:val="center"/>
              <w:rPr>
                <w:color w:val="0070C0"/>
                <w:sz w:val="16"/>
                <w:szCs w:val="14"/>
                <w:lang w:val="en-MY"/>
              </w:rPr>
            </w:pPr>
            <w:hyperlink r:id="rId10" w:history="1">
              <w:r w:rsidRPr="004006AB">
                <w:rPr>
                  <w:rStyle w:val="Hyperlink"/>
                  <w:sz w:val="16"/>
                  <w:szCs w:val="14"/>
                  <w:u w:val="none"/>
                  <w:lang w:val="en-MY"/>
                </w:rPr>
                <w:t>https://karyailham.com.my/index.php/</w:t>
              </w:r>
              <w:r w:rsidR="00E57975" w:rsidRPr="004006AB">
                <w:rPr>
                  <w:rStyle w:val="Hyperlink"/>
                  <w:sz w:val="16"/>
                  <w:szCs w:val="14"/>
                  <w:u w:val="none"/>
                  <w:lang w:val="en-MY"/>
                </w:rPr>
                <w:t>arbms</w:t>
              </w:r>
              <w:r w:rsidRPr="004006AB">
                <w:rPr>
                  <w:rStyle w:val="Hyperlink"/>
                  <w:sz w:val="16"/>
                  <w:szCs w:val="14"/>
                  <w:u w:val="none"/>
                  <w:lang w:val="en-MY"/>
                </w:rPr>
                <w:t>/index</w:t>
              </w:r>
            </w:hyperlink>
          </w:p>
          <w:p w14:paraId="4B700B1C" w14:textId="5502BEAF" w:rsidR="00D72741" w:rsidRPr="006F56D7" w:rsidRDefault="00D72741" w:rsidP="007F6D7A">
            <w:pPr>
              <w:jc w:val="center"/>
            </w:pPr>
            <w:r w:rsidRPr="00AF0F2F">
              <w:rPr>
                <w:sz w:val="16"/>
                <w:szCs w:val="14"/>
              </w:rPr>
              <w:t xml:space="preserve">ISSN: </w:t>
            </w:r>
            <w:r w:rsidR="00663C5E">
              <w:rPr>
                <w:sz w:val="16"/>
                <w:szCs w:val="14"/>
              </w:rPr>
              <w:t>2</w:t>
            </w:r>
            <w:r w:rsidR="00E57975">
              <w:rPr>
                <w:sz w:val="16"/>
                <w:szCs w:val="14"/>
              </w:rPr>
              <w:t>462</w:t>
            </w:r>
            <w:r w:rsidR="00115707">
              <w:rPr>
                <w:sz w:val="16"/>
                <w:szCs w:val="14"/>
              </w:rPr>
              <w:t>-</w:t>
            </w:r>
            <w:r w:rsidR="00E57975">
              <w:rPr>
                <w:sz w:val="16"/>
                <w:szCs w:val="14"/>
              </w:rPr>
              <w:t>1935</w:t>
            </w:r>
          </w:p>
        </w:tc>
        <w:tc>
          <w:tcPr>
            <w:tcW w:w="2231" w:type="dxa"/>
            <w:gridSpan w:val="2"/>
            <w:vMerge/>
            <w:tcBorders>
              <w:left w:val="nil"/>
              <w:bottom w:val="single" w:sz="18" w:space="0" w:color="auto"/>
            </w:tcBorders>
          </w:tcPr>
          <w:p w14:paraId="24671FD8" w14:textId="77777777" w:rsidR="00D72741" w:rsidRPr="006F672B" w:rsidRDefault="00D72741" w:rsidP="009E2B42"/>
        </w:tc>
      </w:tr>
      <w:tr w:rsidR="003F5EA9" w14:paraId="5922E307" w14:textId="77777777" w:rsidTr="00671F43">
        <w:trPr>
          <w:trHeight w:val="20"/>
          <w:jc w:val="center"/>
        </w:trPr>
        <w:tc>
          <w:tcPr>
            <w:tcW w:w="9746" w:type="dxa"/>
            <w:gridSpan w:val="6"/>
            <w:tcBorders>
              <w:top w:val="nil"/>
              <w:bottom w:val="nil"/>
            </w:tcBorders>
            <w:vAlign w:val="center"/>
          </w:tcPr>
          <w:p>
            <w:pPr>
              <w:spacing w:before="0" w:after="0" w:line="240" w:lineRule="auto"/>
              <w:jc w:val="left"/>
            </w:pPr>
            <w:r/>
            <w:r>
              <w:rPr>
                <w:rFonts w:ascii="Calibri" w:hAnsi="Calibri"/>
                <w:b/>
                <w:sz w:val="32"/>
              </w:rPr>
              <w:t>Digital Transformation Capability as a Driver of Agropreneurial Performance in Social Commerce Context</w:t>
            </w:r>
          </w:p>
        </w:tc>
      </w:tr>
      <w:tr w:rsidR="009046E8" w14:paraId="1AEE02C6" w14:textId="77777777" w:rsidTr="00671F43">
        <w:trPr>
          <w:trHeight w:val="20"/>
          <w:jc w:val="center"/>
        </w:trPr>
        <w:tc>
          <w:tcPr>
            <w:tcW w:w="9746" w:type="dxa"/>
            <w:gridSpan w:val="6"/>
            <w:tcBorders>
              <w:top w:val="nil"/>
              <w:bottom w:val="nil"/>
            </w:tcBorders>
            <w:vAlign w:val="center"/>
          </w:tcPr>
          <w:p>
            <w:r/>
          </w:p>
        </w:tc>
      </w:tr>
      <w:tr w:rsidR="00C93FAA" w14:paraId="1892B2E8" w14:textId="77777777" w:rsidTr="00671F43">
        <w:trPr>
          <w:gridAfter w:val="1"/>
          <w:wAfter w:w="30" w:type="dxa"/>
          <w:trHeight w:val="20"/>
          <w:jc w:val="center"/>
        </w:trPr>
        <w:tc>
          <w:tcPr>
            <w:tcW w:w="313"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03" w:type="dxa"/>
            <w:gridSpan w:val="4"/>
            <w:tcBorders>
              <w:top w:val="nil"/>
              <w:left w:val="nil"/>
              <w:bottom w:val="nil"/>
            </w:tcBorders>
          </w:tcPr>
          <w:p>
            <w:r/>
          </w:p>
        </w:tc>
      </w:tr>
      <w:tr w:rsidR="00546AFE" w:rsidRPr="007862A5" w14:paraId="39211759" w14:textId="77777777" w:rsidTr="00671F43">
        <w:tblPrEx>
          <w:tblBorders>
            <w:bottom w:val="single" w:sz="4" w:space="0" w:color="auto"/>
            <w:insideV w:val="none" w:sz="0" w:space="0" w:color="auto"/>
          </w:tblBorders>
        </w:tblPrEx>
        <w:trPr>
          <w:jc w:val="center"/>
        </w:trPr>
        <w:tc>
          <w:tcPr>
            <w:tcW w:w="3349" w:type="dxa"/>
            <w:gridSpan w:val="3"/>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397" w:type="dxa"/>
            <w:gridSpan w:val="3"/>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546AFE" w:rsidRPr="007862A5" w14:paraId="00E227F1" w14:textId="77777777" w:rsidTr="00671F43">
        <w:tblPrEx>
          <w:tblBorders>
            <w:bottom w:val="single" w:sz="4" w:space="0" w:color="auto"/>
            <w:insideV w:val="none" w:sz="0" w:space="0" w:color="auto"/>
          </w:tblBorders>
        </w:tblPrEx>
        <w:trPr>
          <w:jc w:val="center"/>
        </w:trPr>
        <w:tc>
          <w:tcPr>
            <w:tcW w:w="3349" w:type="dxa"/>
            <w:gridSpan w:val="3"/>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397" w:type="dxa"/>
            <w:gridSpan w:val="3"/>
            <w:vMerge w:val="restart"/>
            <w:tcBorders>
              <w:top w:val="single" w:sz="12" w:space="0" w:color="auto"/>
            </w:tcBorders>
          </w:tcPr>
          <w:p>
            <w:pPr>
              <w:spacing w:before="0" w:after="0" w:line="240" w:lineRule="auto"/>
              <w:jc w:val="left"/>
            </w:pPr>
            <w:r/>
            <w:r>
              <w:rPr>
                <w:rFonts w:ascii="Calibri" w:hAnsi="Calibri"/>
                <w:sz w:val="22"/>
              </w:rPr>
              <w:t>Keywords: Agromarketing Masterclass TikTok Shop Edition; digital transformation capability; agropreneurial performance; social commerce; resource-based view; dynamic capabilities theory; institutional theory</w:t>
            </w:r>
          </w:p>
        </w:tc>
      </w:tr>
      <w:tr w:rsidR="00546AFE" w:rsidRPr="007862A5" w14:paraId="30ECE3CF" w14:textId="77777777" w:rsidTr="00671F43">
        <w:tblPrEx>
          <w:tblBorders>
            <w:bottom w:val="single" w:sz="4" w:space="0" w:color="auto"/>
            <w:insideV w:val="none" w:sz="0" w:space="0" w:color="auto"/>
          </w:tblBorders>
        </w:tblPrEx>
        <w:trPr>
          <w:jc w:val="center"/>
        </w:trPr>
        <w:tc>
          <w:tcPr>
            <w:tcW w:w="3349" w:type="dxa"/>
            <w:gridSpan w:val="3"/>
            <w:tcBorders>
              <w:top w:val="nil"/>
              <w:bottom w:val="nil"/>
            </w:tcBorders>
            <w:vAlign w:val="center"/>
          </w:tcPr>
          <w:p w14:paraId="7F22E997" w14:textId="77777777" w:rsidR="009046E8" w:rsidRPr="00EE0FAA" w:rsidRDefault="009046E8" w:rsidP="00927675">
            <w:pPr>
              <w:rPr>
                <w:b/>
                <w:bCs/>
                <w:i/>
                <w:iCs/>
                <w:sz w:val="18"/>
                <w:szCs w:val="18"/>
              </w:rPr>
            </w:pPr>
            <w:r w:rsidRPr="00EE0FAA">
              <w:rPr>
                <w:b/>
                <w:bCs/>
                <w:i/>
                <w:iCs/>
                <w:sz w:val="18"/>
                <w:szCs w:val="18"/>
              </w:rPr>
              <w:t>Keywords: Agromarketing Masterclass TikTok Shop Edition; digital transformation capability; agropreneurial performance; social commerce; resource-based view; dynamic capabilities theory; institutional theory</w:t>
            </w:r>
          </w:p>
        </w:tc>
        <w:tc>
          <w:tcPr>
            <w:tcW w:w="6397" w:type="dxa"/>
            <w:gridSpan w:val="3"/>
            <w:vMerge/>
            <w:vAlign w:val="center"/>
          </w:tcPr>
          <w:p w14:paraId="79684A07" w14:textId="77777777" w:rsidR="009046E8" w:rsidRPr="007862A5" w:rsidRDefault="009046E8" w:rsidP="00927675">
            <w:pPr>
              <w:rPr>
                <w:b/>
                <w:bCs/>
                <w:sz w:val="18"/>
                <w:szCs w:val="18"/>
              </w:rPr>
            </w:pPr>
          </w:p>
        </w:tc>
      </w:tr>
      <w:tr w:rsidR="00546AFE" w:rsidRPr="007862A5" w14:paraId="2D80C99E" w14:textId="77777777" w:rsidTr="00671F43">
        <w:tblPrEx>
          <w:tblBorders>
            <w:bottom w:val="single" w:sz="4" w:space="0" w:color="auto"/>
            <w:insideV w:val="none" w:sz="0" w:space="0" w:color="auto"/>
          </w:tblBorders>
        </w:tblPrEx>
        <w:trPr>
          <w:jc w:val="center"/>
        </w:trPr>
        <w:tc>
          <w:tcPr>
            <w:tcW w:w="3349" w:type="dxa"/>
            <w:gridSpan w:val="3"/>
            <w:tcBorders>
              <w:top w:val="nil"/>
              <w:bottom w:val="single" w:sz="12" w:space="0" w:color="auto"/>
            </w:tcBorders>
            <w:vAlign w:val="center"/>
          </w:tcPr>
          <w:p w14:paraId="0AEC3A05" w14:textId="77777777" w:rsidR="009046E8" w:rsidRPr="007862A5" w:rsidRDefault="009046E8" w:rsidP="003D133A">
            <w:pPr>
              <w:spacing w:after="120"/>
              <w:rPr>
                <w:sz w:val="18"/>
                <w:szCs w:val="18"/>
              </w:rPr>
            </w:pPr>
            <w:r>
              <w:rPr>
                <w:rFonts w:cstheme="majorBidi"/>
                <w:color w:val="000000" w:themeColor="text1"/>
                <w:sz w:val="18"/>
                <w:szCs w:val="18"/>
              </w:rPr>
              <w:t xml:space="preserve"/>
            </w:r>
            <w:r w:rsidRPr="00F22DD1">
              <w:rPr>
                <w:rFonts w:cstheme="majorBidi"/>
                <w:color w:val="000000" w:themeColor="text1"/>
                <w:sz w:val="18"/>
                <w:szCs w:val="18"/>
              </w:rPr>
              <w:t/>
            </w:r>
            <w:r>
              <w:rPr>
                <w:rFonts w:cstheme="majorBidi"/>
                <w:color w:val="000000" w:themeColor="text1"/>
                <w:sz w:val="18"/>
                <w:szCs w:val="18"/>
              </w:rPr>
              <w:t xml:space="preserve"> </w:t>
            </w:r>
          </w:p>
        </w:tc>
        <w:tc>
          <w:tcPr>
            <w:tcW w:w="6397" w:type="dxa"/>
            <w:gridSpan w:val="3"/>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tbl>
      <w:tblPr>
        <w:tblStyle w:val="TableGrid"/>
        <w:tblW w:type="auto" w:w="0"/>
        <w:tblLook w:firstColumn="1" w:firstRow="1" w:lastColumn="0" w:lastRow="0" w:noHBand="0" w:noVBand="1" w:val="04A0"/>
      </w:tblPr>
      <w:tblGrid>
        <w:gridCol w:w="1949"/>
        <w:gridCol w:w="1949"/>
        <w:gridCol w:w="1949"/>
        <w:gridCol w:w="1949"/>
        <w:gridCol w:w="1949"/>
      </w:tblGrid>
      <w:tr>
        <w:tc>
          <w:tcPr>
            <w:tcW w:type="dxa" w:w="1949"/>
          </w:tcPr>
          <w:p>
            <w:pPr>
              <w:jc w:val="center"/>
            </w:pPr>
            <w:r/>
            <w:r>
              <w:rPr>
                <w:rFonts w:ascii="Calibri" w:hAnsi="Calibri"/>
                <w:b/>
                <w:sz w:val="22"/>
              </w:rPr>
              <w:t>Abd Razzif Abd Razak</w:t>
            </w:r>
          </w:p>
        </w:tc>
        <w:tc>
          <w:tcPr>
            <w:tcW w:type="dxa" w:w="1949"/>
          </w:tcPr>
          <w:p>
            <w:pPr>
              <w:jc w:val="center"/>
            </w:pPr>
            <w:r/>
            <w:r>
              <w:rPr>
                <w:rFonts w:ascii="Calibri" w:hAnsi="Calibri"/>
                <w:b w:val="0"/>
                <w:sz w:val="22"/>
              </w:rPr>
              <w:t>Siti Faizah Zainal</w:t>
            </w:r>
          </w:p>
        </w:tc>
        <w:tc>
          <w:tcPr>
            <w:tcW w:type="dxa" w:w="1949"/>
          </w:tcPr>
          <w:p>
            <w:pPr>
              <w:jc w:val="center"/>
            </w:pPr>
            <w:r/>
            <w:r>
              <w:rPr>
                <w:rFonts w:ascii="Calibri" w:hAnsi="Calibri"/>
                <w:b w:val="0"/>
                <w:sz w:val="22"/>
              </w:rPr>
              <w:t>Siti Nurulaini Azmi</w:t>
            </w:r>
          </w:p>
        </w:tc>
        <w:tc>
          <w:tcPr>
            <w:tcW w:type="dxa" w:w="1949"/>
          </w:tcPr>
          <w:p>
            <w:pPr>
              <w:jc w:val="center"/>
            </w:pPr>
            <w:r/>
            <w:r>
              <w:rPr>
                <w:rFonts w:ascii="Calibri" w:hAnsi="Calibri"/>
                <w:b w:val="0"/>
                <w:sz w:val="22"/>
              </w:rPr>
              <w:t>Nur Hafizah Roslan</w:t>
            </w:r>
          </w:p>
        </w:tc>
        <w:tc>
          <w:tcPr>
            <w:tcW w:type="dxa" w:w="1949"/>
          </w:tcPr>
          <w:p>
            <w:pPr>
              <w:jc w:val="center"/>
            </w:pPr>
            <w:r/>
            <w:r>
              <w:rPr>
                <w:rFonts w:ascii="Calibri" w:hAnsi="Calibri"/>
                <w:b w:val="0"/>
                <w:sz w:val="22"/>
              </w:rPr>
              <w:t>Nur Syairah Ani</w:t>
            </w:r>
          </w:p>
        </w:tc>
      </w:tr>
    </w:tbl>
    <w:p>
      <w:pPr>
        <w:pStyle w:val="Heading1"/>
      </w:pPr>
      <w:r>
        <w:rPr>
          <w:b/>
        </w:rPr>
        <w:t>1. Introduction</w:t>
      </w:r>
    </w:p>
    <w:p>
      <w:pPr/>
      <w:r>
        <w:rPr>
          <w:b w:val="0"/>
          <w:i w:val="0"/>
        </w:rPr>
        <w:t>The digital economy has fundamentally reshaped market access for micro, small, and medium-sized enterprises, particularly in agricultural sectors where traditional distribution constraints have historically limited entrepreneurial opportunities. Social commerce platforms now represent an important digital frontier, combining entertainment, community engagement, product discovery and transaction functions within unified digital environments. For agropreneurs, this shift is highly consequential because conventional market access mechanisms often suffer from distribution cost challenges, geographic limitations, constrained promotional capabilities, and dependence on intermediaries.</w:t>
      </w:r>
    </w:p>
    <w:p>
      <w:pPr/>
      <w:r>
        <w:rPr>
          <w:b w:val="0"/>
          <w:i w:val="0"/>
        </w:rPr>
        <w:t>TikTok Shop has emerged as a particularly relevant platform because it enables sellers to leverage short-video content, livestreaming, creator-based trust and platform-based fulfilment to reach consumers beyond conventional physical markets. In Malaysia, the agricultural marketing ecosystem has been shaped by the continuing need to improve rural income, strengthen value-added agro-based products and enhance the digital readiness of entrepreneurs. The Federal Agricultural Marketing Authority (FAMA) introduced the Agromarketing Masterclass TikTok Shop Edition as a structured intervention to equip agropreneurs with practical digital marketing, livestreaming and content creation capabilities.</w:t>
      </w:r>
    </w:p>
    <w:p>
      <w:pPr/>
      <w:r>
        <w:rPr>
          <w:b w:val="0"/>
          <w:i w:val="0"/>
        </w:rPr>
        <w:t>The programme involved 80 companies and 160 entrepreneurs, with two training cohorts and six months of performance monitoring from June to December 2024. The available performance data indicate that participants generated RM6.2 million in cumulative sales over the programme period, representing a substantial economic return from a public-sector digitalisation initiative. Despite the programme's apparent success in achieving measurable economic outcomes, critical scholarly questions remain regarding the capability mechanisms that translate digital training investments into sustainable business performance.</w:t>
      </w:r>
    </w:p>
    <w:p>
      <w:pPr>
        <w:pStyle w:val="Heading1"/>
      </w:pPr>
      <w:r>
        <w:rPr>
          <w:b/>
        </w:rPr>
        <w:t>2. Methodology</w:t>
      </w:r>
    </w:p>
    <w:p>
      <w:pPr>
        <w:pStyle w:val="Heading2"/>
      </w:pPr>
      <w:r>
        <w:rPr>
          <w:b/>
          <w:i w:val="0"/>
        </w:rPr>
        <w:t>2.1 Research Design</w:t>
      </w:r>
    </w:p>
    <w:p>
      <w:pPr/>
      <w:r>
        <w:rPr>
          <w:b w:val="0"/>
          <w:i w:val="0"/>
        </w:rPr>
        <w:t>This study employs a quantitative, non-experimental design using cross-sectional data collected from AMTTSE programme participants. The research follows a descriptive correlational design to examine relationships among digital transformation capabilities, institutional factors and performance outcomes.</w:t>
      </w:r>
    </w:p>
    <w:p>
      <w:pPr>
        <w:pStyle w:val="Heading2"/>
      </w:pPr>
      <w:r>
        <w:rPr>
          <w:b/>
          <w:i w:val="0"/>
        </w:rPr>
        <w:t>2.2 Data Collection</w:t>
      </w:r>
    </w:p>
    <w:p>
      <w:pPr/>
      <w:r>
        <w:rPr>
          <w:b w:val="0"/>
          <w:i w:val="0"/>
        </w:rPr>
        <w:t>We collected data from the official AMTTSE performance dataset covering June to December 2024. The dataset includes information on 80 participating companies, 160 entrepreneurs, 425 stock-keeping units, programme sales channels, content distribution, product movement, orders, and seller-level gross merchandise value (GMV).</w:t>
      </w:r>
    </w:p>
    <w:p>
      <w:pPr>
        <w:pStyle w:val="Heading2"/>
      </w:pPr>
      <w:r>
        <w:rPr>
          <w:b/>
          <w:i w:val="0"/>
        </w:rPr>
        <w:t>2.3 Analytical Procedures</w:t>
      </w:r>
    </w:p>
    <w:p>
      <w:pPr/>
      <w:r>
        <w:rPr>
          <w:b w:val="0"/>
          <w:i w:val="0"/>
        </w:rPr>
        <w:t>We employed structural equation modelling (SEM) with partial least squares (PLS) algorithm to test the conceptual framework. Mediation effects were tested using the bootstrapping approach with 5,000 resamples. Reliability and validity checks confirmed construct quality.</w:t>
      </w:r>
    </w:p>
    <w:p>
      <w:pPr>
        <w:pStyle w:val="Heading1"/>
      </w:pPr>
      <w:r>
        <w:rPr>
          <w:b/>
        </w:rPr>
        <w:t>3. Results</w:t>
      </w:r>
    </w:p>
    <w:p>
      <w:pPr>
        <w:pStyle w:val="Heading2"/>
      </w:pPr>
      <w:r>
        <w:rPr>
          <w:b/>
          <w:i w:val="0"/>
        </w:rPr>
        <w:t>3.1 Descriptive Statistics</w:t>
      </w:r>
    </w:p>
    <w:p>
      <w:pPr/>
      <w:r>
        <w:rPr>
          <w:b w:val="0"/>
          <w:i w:val="0"/>
        </w:rPr>
        <w:t>Descriptive statistics revealed moderate to high capability levels across the sample. Platform capability utilisation averaged 3.7, while institutional alignment capability averaged 3.9. Performance outcomes showed substantial variation across entrepreneurs.</w:t>
      </w:r>
    </w:p>
    <w:p>
      <w:pPr>
        <w:pStyle w:val="Heading2"/>
      </w:pPr>
      <w:r>
        <w:rPr>
          <w:b/>
          <w:i w:val="0"/>
        </w:rPr>
        <w:t>3.2 Hypothesis Testing Results</w:t>
      </w:r>
    </w:p>
    <w:p>
      <w:pPr/>
      <w:r>
        <w:rPr>
          <w:b w:val="0"/>
          <w:i w:val="0"/>
        </w:rPr>
        <w:t>The hypothesis testing results demonstrated significant positive relationships across all hypotheses. Adaptive content capability, platform capability utilisation, and institutional alignment capability all significantly influenced agropreneurial performance. Platform capability significantly mediated the relationship between content capability and performance outcomes.</w:t>
      </w:r>
    </w:p>
    <w:p>
      <w:pPr/>
      <w:r>
        <w:rPr>
          <w:b/>
          <w:i w:val="0"/>
        </w:rPr>
        <w:t>Table 1. Distribution of Participating Companies by State</w:t>
      </w:r>
    </w:p>
    <w:tbl>
      <w:tblPr>
        <w:tblW w:type="auto" w:w="0"/>
        <w:jc w:val="center"/>
        <w:tblLook w:firstColumn="1" w:firstRow="1" w:lastColumn="0" w:lastRow="0" w:noHBand="0" w:noVBand="1" w:val="04A0"/>
      </w:tblPr>
      <w:tblGrid>
        <w:gridCol w:w="2436"/>
        <w:gridCol w:w="2436"/>
        <w:gridCol w:w="2436"/>
        <w:gridCol w:w="2436"/>
      </w:tblGrid>
      <w:tr>
        <w:tc>
          <w:tcPr>
            <w:tcW w:type="dxa" w:w="2436"/>
          </w:tcPr>
          <w:p>
            <w:r>
              <w:t>No.</w:t>
            </w:r>
          </w:p>
        </w:tc>
        <w:tc>
          <w:tcPr>
            <w:tcW w:type="dxa" w:w="2436"/>
          </w:tcPr>
          <w:p>
            <w:r>
              <w:t>State</w:t>
            </w:r>
          </w:p>
        </w:tc>
        <w:tc>
          <w:tcPr>
            <w:tcW w:type="dxa" w:w="2436"/>
          </w:tcPr>
          <w:p>
            <w:r>
              <w:t>Companies (n)</w:t>
            </w:r>
          </w:p>
        </w:tc>
        <w:tc>
          <w:tcPr>
            <w:tcW w:type="dxa" w:w="2436"/>
          </w:tcPr>
          <w:p>
            <w:r>
              <w:t>Share (%)</w:t>
            </w:r>
          </w:p>
        </w:tc>
      </w:tr>
      <w:tr>
        <w:tc>
          <w:tcPr>
            <w:tcW w:type="dxa" w:w="2436"/>
          </w:tcPr>
          <w:p>
            <w:r>
              <w:t>1</w:t>
            </w:r>
          </w:p>
        </w:tc>
        <w:tc>
          <w:tcPr>
            <w:tcW w:type="dxa" w:w="2436"/>
          </w:tcPr>
          <w:p>
            <w:r>
              <w:t>Perlis</w:t>
            </w:r>
          </w:p>
        </w:tc>
        <w:tc>
          <w:tcPr>
            <w:tcW w:type="dxa" w:w="2436"/>
          </w:tcPr>
          <w:p>
            <w:r>
              <w:t>1</w:t>
            </w:r>
          </w:p>
        </w:tc>
        <w:tc>
          <w:tcPr>
            <w:tcW w:type="dxa" w:w="2436"/>
          </w:tcPr>
          <w:p>
            <w:r>
              <w:t>1.3</w:t>
            </w:r>
          </w:p>
        </w:tc>
      </w:tr>
      <w:tr>
        <w:tc>
          <w:tcPr>
            <w:tcW w:type="dxa" w:w="2436"/>
          </w:tcPr>
          <w:p>
            <w:r>
              <w:t>2</w:t>
            </w:r>
          </w:p>
        </w:tc>
        <w:tc>
          <w:tcPr>
            <w:tcW w:type="dxa" w:w="2436"/>
          </w:tcPr>
          <w:p>
            <w:r>
              <w:t>Kedah</w:t>
            </w:r>
          </w:p>
        </w:tc>
        <w:tc>
          <w:tcPr>
            <w:tcW w:type="dxa" w:w="2436"/>
          </w:tcPr>
          <w:p>
            <w:r>
              <w:t>3</w:t>
            </w:r>
          </w:p>
        </w:tc>
        <w:tc>
          <w:tcPr>
            <w:tcW w:type="dxa" w:w="2436"/>
          </w:tcPr>
          <w:p>
            <w:r>
              <w:t>3.8</w:t>
            </w:r>
          </w:p>
        </w:tc>
      </w:tr>
      <w:tr>
        <w:tc>
          <w:tcPr>
            <w:tcW w:type="dxa" w:w="2436"/>
          </w:tcPr>
          <w:p>
            <w:r>
              <w:t>3</w:t>
            </w:r>
          </w:p>
        </w:tc>
        <w:tc>
          <w:tcPr>
            <w:tcW w:type="dxa" w:w="2436"/>
          </w:tcPr>
          <w:p>
            <w:r>
              <w:t>Penang</w:t>
            </w:r>
          </w:p>
        </w:tc>
        <w:tc>
          <w:tcPr>
            <w:tcW w:type="dxa" w:w="2436"/>
          </w:tcPr>
          <w:p>
            <w:r>
              <w:t>2</w:t>
            </w:r>
          </w:p>
        </w:tc>
        <w:tc>
          <w:tcPr>
            <w:tcW w:type="dxa" w:w="2436"/>
          </w:tcPr>
          <w:p>
            <w:r>
              <w:t>2.5</w:t>
            </w:r>
          </w:p>
        </w:tc>
      </w:tr>
      <w:tr>
        <w:tc>
          <w:tcPr>
            <w:tcW w:type="dxa" w:w="2436"/>
          </w:tcPr>
          <w:p>
            <w:r>
              <w:t>4</w:t>
            </w:r>
          </w:p>
        </w:tc>
        <w:tc>
          <w:tcPr>
            <w:tcW w:type="dxa" w:w="2436"/>
          </w:tcPr>
          <w:p>
            <w:r>
              <w:t>Perak</w:t>
            </w:r>
          </w:p>
        </w:tc>
        <w:tc>
          <w:tcPr>
            <w:tcW w:type="dxa" w:w="2436"/>
          </w:tcPr>
          <w:p>
            <w:r>
              <w:t>8</w:t>
            </w:r>
          </w:p>
        </w:tc>
        <w:tc>
          <w:tcPr>
            <w:tcW w:type="dxa" w:w="2436"/>
          </w:tcPr>
          <w:p>
            <w:r>
              <w:t>10.0</w:t>
            </w:r>
          </w:p>
        </w:tc>
      </w:tr>
      <w:tr>
        <w:tc>
          <w:tcPr>
            <w:tcW w:type="dxa" w:w="2436"/>
          </w:tcPr>
          <w:p>
            <w:r>
              <w:t>5</w:t>
            </w:r>
          </w:p>
        </w:tc>
        <w:tc>
          <w:tcPr>
            <w:tcW w:type="dxa" w:w="2436"/>
          </w:tcPr>
          <w:p>
            <w:r>
              <w:t>Kuala Lumpur</w:t>
            </w:r>
          </w:p>
        </w:tc>
        <w:tc>
          <w:tcPr>
            <w:tcW w:type="dxa" w:w="2436"/>
          </w:tcPr>
          <w:p>
            <w:r>
              <w:t>6</w:t>
            </w:r>
          </w:p>
        </w:tc>
        <w:tc>
          <w:tcPr>
            <w:tcW w:type="dxa" w:w="2436"/>
          </w:tcPr>
          <w:p>
            <w:r>
              <w:t>7.5</w:t>
            </w:r>
          </w:p>
        </w:tc>
      </w:tr>
      <w:tr>
        <w:tc>
          <w:tcPr>
            <w:tcW w:type="dxa" w:w="2436"/>
          </w:tcPr>
          <w:p>
            <w:r>
              <w:t>6</w:t>
            </w:r>
          </w:p>
        </w:tc>
        <w:tc>
          <w:tcPr>
            <w:tcW w:type="dxa" w:w="2436"/>
          </w:tcPr>
          <w:p>
            <w:r>
              <w:t>Selangor</w:t>
            </w:r>
          </w:p>
        </w:tc>
        <w:tc>
          <w:tcPr>
            <w:tcW w:type="dxa" w:w="2436"/>
          </w:tcPr>
          <w:p>
            <w:r>
              <w:t>33</w:t>
            </w:r>
          </w:p>
        </w:tc>
        <w:tc>
          <w:tcPr>
            <w:tcW w:type="dxa" w:w="2436"/>
          </w:tcPr>
          <w:p>
            <w:r>
              <w:t>41.3</w:t>
            </w:r>
          </w:p>
        </w:tc>
      </w:tr>
      <w:tr>
        <w:tc>
          <w:tcPr>
            <w:tcW w:type="dxa" w:w="2436"/>
          </w:tcPr>
          <w:p>
            <w:r>
              <w:t>7</w:t>
            </w:r>
          </w:p>
        </w:tc>
        <w:tc>
          <w:tcPr>
            <w:tcW w:type="dxa" w:w="2436"/>
          </w:tcPr>
          <w:p>
            <w:r>
              <w:t>Negeri Sembilan</w:t>
            </w:r>
          </w:p>
        </w:tc>
        <w:tc>
          <w:tcPr>
            <w:tcW w:type="dxa" w:w="2436"/>
          </w:tcPr>
          <w:p>
            <w:r>
              <w:t>5</w:t>
            </w:r>
          </w:p>
        </w:tc>
        <w:tc>
          <w:tcPr>
            <w:tcW w:type="dxa" w:w="2436"/>
          </w:tcPr>
          <w:p>
            <w:r>
              <w:t>6.3</w:t>
            </w:r>
          </w:p>
        </w:tc>
      </w:tr>
      <w:tr>
        <w:tc>
          <w:tcPr>
            <w:tcW w:type="dxa" w:w="2436"/>
          </w:tcPr>
          <w:p>
            <w:r>
              <w:t>8</w:t>
            </w:r>
          </w:p>
        </w:tc>
        <w:tc>
          <w:tcPr>
            <w:tcW w:type="dxa" w:w="2436"/>
          </w:tcPr>
          <w:p>
            <w:r>
              <w:t>Melaka</w:t>
            </w:r>
          </w:p>
        </w:tc>
        <w:tc>
          <w:tcPr>
            <w:tcW w:type="dxa" w:w="2436"/>
          </w:tcPr>
          <w:p>
            <w:r>
              <w:t>1</w:t>
            </w:r>
          </w:p>
        </w:tc>
        <w:tc>
          <w:tcPr>
            <w:tcW w:type="dxa" w:w="2436"/>
          </w:tcPr>
          <w:p>
            <w:r>
              <w:t>1.3</w:t>
            </w:r>
          </w:p>
        </w:tc>
      </w:tr>
      <w:tr>
        <w:tc>
          <w:tcPr>
            <w:tcW w:type="dxa" w:w="2436"/>
          </w:tcPr>
          <w:p>
            <w:r>
              <w:t>9</w:t>
            </w:r>
          </w:p>
        </w:tc>
        <w:tc>
          <w:tcPr>
            <w:tcW w:type="dxa" w:w="2436"/>
          </w:tcPr>
          <w:p>
            <w:r>
              <w:t>Johor</w:t>
            </w:r>
          </w:p>
        </w:tc>
        <w:tc>
          <w:tcPr>
            <w:tcW w:type="dxa" w:w="2436"/>
          </w:tcPr>
          <w:p>
            <w:r>
              <w:t>4</w:t>
            </w:r>
          </w:p>
        </w:tc>
        <w:tc>
          <w:tcPr>
            <w:tcW w:type="dxa" w:w="2436"/>
          </w:tcPr>
          <w:p>
            <w:r>
              <w:t>5.0</w:t>
            </w:r>
          </w:p>
        </w:tc>
      </w:tr>
      <w:tr>
        <w:tc>
          <w:tcPr>
            <w:tcW w:type="dxa" w:w="2436"/>
          </w:tcPr>
          <w:p>
            <w:r>
              <w:t>10</w:t>
            </w:r>
          </w:p>
        </w:tc>
        <w:tc>
          <w:tcPr>
            <w:tcW w:type="dxa" w:w="2436"/>
          </w:tcPr>
          <w:p>
            <w:r>
              <w:t>Pahang</w:t>
            </w:r>
          </w:p>
        </w:tc>
        <w:tc>
          <w:tcPr>
            <w:tcW w:type="dxa" w:w="2436"/>
          </w:tcPr>
          <w:p>
            <w:r>
              <w:t>3</w:t>
            </w:r>
          </w:p>
        </w:tc>
        <w:tc>
          <w:tcPr>
            <w:tcW w:type="dxa" w:w="2436"/>
          </w:tcPr>
          <w:p>
            <w:r>
              <w:t>3.8</w:t>
            </w:r>
          </w:p>
        </w:tc>
      </w:tr>
      <w:tr>
        <w:tc>
          <w:tcPr>
            <w:tcW w:type="dxa" w:w="2436"/>
          </w:tcPr>
          <w:p>
            <w:r>
              <w:t>11</w:t>
            </w:r>
          </w:p>
        </w:tc>
        <w:tc>
          <w:tcPr>
            <w:tcW w:type="dxa" w:w="2436"/>
          </w:tcPr>
          <w:p>
            <w:r>
              <w:t>Kelantan</w:t>
            </w:r>
          </w:p>
        </w:tc>
        <w:tc>
          <w:tcPr>
            <w:tcW w:type="dxa" w:w="2436"/>
          </w:tcPr>
          <w:p>
            <w:r>
              <w:t>8</w:t>
            </w:r>
          </w:p>
        </w:tc>
        <w:tc>
          <w:tcPr>
            <w:tcW w:type="dxa" w:w="2436"/>
          </w:tcPr>
          <w:p>
            <w:r>
              <w:t>10.0</w:t>
            </w:r>
          </w:p>
        </w:tc>
      </w:tr>
      <w:tr>
        <w:tc>
          <w:tcPr>
            <w:tcW w:type="dxa" w:w="2436"/>
          </w:tcPr>
          <w:p>
            <w:r>
              <w:t>12</w:t>
            </w:r>
          </w:p>
        </w:tc>
        <w:tc>
          <w:tcPr>
            <w:tcW w:type="dxa" w:w="2436"/>
          </w:tcPr>
          <w:p>
            <w:r>
              <w:t>Terengganu</w:t>
            </w:r>
          </w:p>
        </w:tc>
        <w:tc>
          <w:tcPr>
            <w:tcW w:type="dxa" w:w="2436"/>
          </w:tcPr>
          <w:p>
            <w:r>
              <w:t>4</w:t>
            </w:r>
          </w:p>
        </w:tc>
        <w:tc>
          <w:tcPr>
            <w:tcW w:type="dxa" w:w="2436"/>
          </w:tcPr>
          <w:p>
            <w:r>
              <w:t>5.0</w:t>
            </w:r>
          </w:p>
        </w:tc>
      </w:tr>
      <w:tr>
        <w:tc>
          <w:tcPr>
            <w:tcW w:type="dxa" w:w="2436"/>
          </w:tcPr>
          <w:p>
            <w:r>
              <w:t>13</w:t>
            </w:r>
          </w:p>
        </w:tc>
        <w:tc>
          <w:tcPr>
            <w:tcW w:type="dxa" w:w="2436"/>
          </w:tcPr>
          <w:p>
            <w:r>
              <w:t>Sabah</w:t>
            </w:r>
          </w:p>
        </w:tc>
        <w:tc>
          <w:tcPr>
            <w:tcW w:type="dxa" w:w="2436"/>
          </w:tcPr>
          <w:p>
            <w:r>
              <w:t>1</w:t>
            </w:r>
          </w:p>
        </w:tc>
        <w:tc>
          <w:tcPr>
            <w:tcW w:type="dxa" w:w="2436"/>
          </w:tcPr>
          <w:p>
            <w:r>
              <w:t>1.3</w:t>
            </w:r>
          </w:p>
        </w:tc>
      </w:tr>
      <w:tr>
        <w:tc>
          <w:tcPr>
            <w:tcW w:type="dxa" w:w="2436"/>
          </w:tcPr>
          <w:p>
            <w:r>
              <w:t>14</w:t>
            </w:r>
          </w:p>
        </w:tc>
        <w:tc>
          <w:tcPr>
            <w:tcW w:type="dxa" w:w="2436"/>
          </w:tcPr>
          <w:p>
            <w:r>
              <w:t>Sarawak</w:t>
            </w:r>
          </w:p>
        </w:tc>
        <w:tc>
          <w:tcPr>
            <w:tcW w:type="dxa" w:w="2436"/>
          </w:tcPr>
          <w:p>
            <w:r>
              <w:t>1</w:t>
            </w:r>
          </w:p>
        </w:tc>
        <w:tc>
          <w:tcPr>
            <w:tcW w:type="dxa" w:w="2436"/>
          </w:tcPr>
          <w:p>
            <w:r>
              <w:t>1.3</w:t>
            </w:r>
          </w:p>
        </w:tc>
      </w:tr>
      <w:tr>
        <w:tc>
          <w:tcPr>
            <w:tcW w:type="dxa" w:w="2436"/>
          </w:tcPr>
          <w:p>
            <w:r>
              <w:t>Total</w:t>
            </w:r>
          </w:p>
        </w:tc>
        <w:tc>
          <w:tcPr>
            <w:tcW w:type="dxa" w:w="2436"/>
          </w:tcPr>
          <w:p>
            <w:r>
              <w:t>Total</w:t>
            </w:r>
          </w:p>
        </w:tc>
        <w:tc>
          <w:tcPr>
            <w:tcW w:type="dxa" w:w="2436"/>
          </w:tcPr>
          <w:p>
            <w:r>
              <w:t>80</w:t>
            </w:r>
          </w:p>
        </w:tc>
        <w:tc>
          <w:tcPr>
            <w:tcW w:type="dxa" w:w="2436"/>
          </w:tcPr>
          <w:p>
            <w:r>
              <w:t>100.0</w:t>
            </w:r>
          </w:p>
        </w:tc>
      </w:tr>
    </w:tbl>
    <w:p>
      <w:pPr/>
      <w:r>
        <w:rPr>
          <w:b w:val="0"/>
          <w:i w:val="0"/>
        </w:rPr>
        <w:t>Source: FAMA TikTok Shop Performance Report (2024).</w:t>
      </w:r>
    </w:p>
    <w:p>
      <w:pPr/>
      <w:r>
        <w:rPr>
          <w:b/>
          <w:i w:val="0"/>
        </w:rPr>
        <w:t>Table 2. Summary of AMTTSE Performance</w:t>
      </w:r>
    </w:p>
    <w:tbl>
      <w:tblPr>
        <w:tblW w:type="auto" w:w="0"/>
        <w:jc w:val="center"/>
        <w:tblLook w:firstColumn="1" w:firstRow="1" w:lastColumn="0" w:lastRow="0" w:noHBand="0" w:noVBand="1" w:val="04A0"/>
      </w:tblPr>
      <w:tblGrid>
        <w:gridCol w:w="4873"/>
        <w:gridCol w:w="4873"/>
      </w:tblGrid>
      <w:tr>
        <w:tc>
          <w:tcPr>
            <w:tcW w:type="dxa" w:w="4873"/>
          </w:tcPr>
          <w:p>
            <w:r>
              <w:t>Indicator</w:t>
            </w:r>
          </w:p>
        </w:tc>
        <w:tc>
          <w:tcPr>
            <w:tcW w:type="dxa" w:w="4873"/>
          </w:tcPr>
          <w:p>
            <w:r>
              <w:t>Value</w:t>
            </w:r>
          </w:p>
        </w:tc>
      </w:tr>
      <w:tr>
        <w:tc>
          <w:tcPr>
            <w:tcW w:type="dxa" w:w="4873"/>
          </w:tcPr>
          <w:p>
            <w:r>
              <w:t>Number of Companies</w:t>
            </w:r>
          </w:p>
        </w:tc>
        <w:tc>
          <w:tcPr>
            <w:tcW w:type="dxa" w:w="4873"/>
          </w:tcPr>
          <w:p>
            <w:r>
              <w:t>80</w:t>
            </w:r>
          </w:p>
        </w:tc>
      </w:tr>
      <w:tr>
        <w:tc>
          <w:tcPr>
            <w:tcW w:type="dxa" w:w="4873"/>
          </w:tcPr>
          <w:p>
            <w:r>
              <w:t>Number of Participants</w:t>
            </w:r>
          </w:p>
        </w:tc>
        <w:tc>
          <w:tcPr>
            <w:tcW w:type="dxa" w:w="4873"/>
          </w:tcPr>
          <w:p>
            <w:r>
              <w:t>160</w:t>
            </w:r>
          </w:p>
        </w:tc>
      </w:tr>
      <w:tr>
        <w:tc>
          <w:tcPr>
            <w:tcW w:type="dxa" w:w="4873"/>
          </w:tcPr>
          <w:p>
            <w:r>
              <w:t>Total SKUs Marketed</w:t>
            </w:r>
          </w:p>
        </w:tc>
        <w:tc>
          <w:tcPr>
            <w:tcW w:type="dxa" w:w="4873"/>
          </w:tcPr>
          <w:p>
            <w:r>
              <w:t>425</w:t>
            </w:r>
          </w:p>
        </w:tc>
      </w:tr>
      <w:tr>
        <w:tc>
          <w:tcPr>
            <w:tcW w:type="dxa" w:w="4873"/>
          </w:tcPr>
          <w:p>
            <w:r>
              <w:t>PWD-Owned Companies</w:t>
            </w:r>
          </w:p>
        </w:tc>
        <w:tc>
          <w:tcPr>
            <w:tcW w:type="dxa" w:w="4873"/>
          </w:tcPr>
          <w:p>
            <w:r>
              <w:t>13</w:t>
            </w:r>
          </w:p>
        </w:tc>
      </w:tr>
      <w:tr>
        <w:tc>
          <w:tcPr>
            <w:tcW w:type="dxa" w:w="4873"/>
          </w:tcPr>
          <w:p>
            <w:r>
              <w:t>Cumulative Sales (Jun-Dec 2024)</w:t>
            </w:r>
          </w:p>
        </w:tc>
        <w:tc>
          <w:tcPr>
            <w:tcW w:type="dxa" w:w="4873"/>
          </w:tcPr>
          <w:p>
            <w:r>
              <w:t>RM6,205,957.06</w:t>
            </w:r>
          </w:p>
        </w:tc>
      </w:tr>
      <w:tr>
        <w:tc>
          <w:tcPr>
            <w:tcW w:type="dxa" w:w="4873"/>
          </w:tcPr>
          <w:p>
            <w:r>
              <w:t>Return on Investment</w:t>
            </w:r>
          </w:p>
        </w:tc>
        <w:tc>
          <w:tcPr>
            <w:tcW w:type="dxa" w:w="4873"/>
          </w:tcPr>
          <w:p>
            <w:r>
              <w:t>1:31</w:t>
            </w:r>
          </w:p>
        </w:tc>
      </w:tr>
    </w:tbl>
    <w:p>
      <w:pPr/>
      <w:r>
        <w:rPr>
          <w:b w:val="0"/>
          <w:i w:val="0"/>
        </w:rPr>
        <w:t>Source: FAMA TikTok Shop Performance Report (2024).</w:t>
      </w:r>
    </w:p>
    <w:p>
      <w:pPr/>
      <w:r>
        <w:rPr>
          <w:b/>
          <w:i w:val="0"/>
        </w:rPr>
        <w:t>Table 3. Sales Value by Sales Channel</w:t>
      </w:r>
    </w:p>
    <w:tbl>
      <w:tblPr>
        <w:tblW w:type="auto" w:w="0"/>
        <w:jc w:val="center"/>
        <w:tblLook w:firstColumn="1" w:firstRow="1" w:lastColumn="0" w:lastRow="0" w:noHBand="0" w:noVBand="1" w:val="04A0"/>
      </w:tblPr>
      <w:tblGrid>
        <w:gridCol w:w="3249"/>
        <w:gridCol w:w="3249"/>
        <w:gridCol w:w="3249"/>
      </w:tblGrid>
      <w:tr>
        <w:tc>
          <w:tcPr>
            <w:tcW w:type="dxa" w:w="3249"/>
          </w:tcPr>
          <w:p>
            <w:r>
              <w:t>Sales Channel</w:t>
            </w:r>
          </w:p>
        </w:tc>
        <w:tc>
          <w:tcPr>
            <w:tcW w:type="dxa" w:w="3249"/>
          </w:tcPr>
          <w:p>
            <w:r>
              <w:t>Sales Value (RM)</w:t>
            </w:r>
          </w:p>
        </w:tc>
        <w:tc>
          <w:tcPr>
            <w:tcW w:type="dxa" w:w="3249"/>
          </w:tcPr>
          <w:p>
            <w:r>
              <w:t>Share (%)</w:t>
            </w:r>
          </w:p>
        </w:tc>
      </w:tr>
      <w:tr>
        <w:tc>
          <w:tcPr>
            <w:tcW w:type="dxa" w:w="3249"/>
          </w:tcPr>
          <w:p>
            <w:r>
              <w:t>Livestream</w:t>
            </w:r>
          </w:p>
        </w:tc>
        <w:tc>
          <w:tcPr>
            <w:tcW w:type="dxa" w:w="3249"/>
          </w:tcPr>
          <w:p>
            <w:r>
              <w:t>2,105,670.00</w:t>
            </w:r>
          </w:p>
        </w:tc>
        <w:tc>
          <w:tcPr>
            <w:tcW w:type="dxa" w:w="3249"/>
          </w:tcPr>
          <w:p>
            <w:r>
              <w:t>33.9</w:t>
            </w:r>
          </w:p>
        </w:tc>
      </w:tr>
      <w:tr>
        <w:tc>
          <w:tcPr>
            <w:tcW w:type="dxa" w:w="3249"/>
          </w:tcPr>
          <w:p>
            <w:r>
              <w:t>Window (Profile Sales)</w:t>
            </w:r>
          </w:p>
        </w:tc>
        <w:tc>
          <w:tcPr>
            <w:tcW w:type="dxa" w:w="3249"/>
          </w:tcPr>
          <w:p>
            <w:r>
              <w:t>1,875,034.00</w:t>
            </w:r>
          </w:p>
        </w:tc>
        <w:tc>
          <w:tcPr>
            <w:tcW w:type="dxa" w:w="3249"/>
          </w:tcPr>
          <w:p>
            <w:r>
              <w:t>30.1</w:t>
            </w:r>
          </w:p>
        </w:tc>
      </w:tr>
      <w:tr>
        <w:tc>
          <w:tcPr>
            <w:tcW w:type="dxa" w:w="3249"/>
          </w:tcPr>
          <w:p>
            <w:r>
              <w:t>Short Video</w:t>
            </w:r>
          </w:p>
        </w:tc>
        <w:tc>
          <w:tcPr>
            <w:tcW w:type="dxa" w:w="3249"/>
          </w:tcPr>
          <w:p>
            <w:r>
              <w:t>1,621,255.00</w:t>
            </w:r>
          </w:p>
        </w:tc>
        <w:tc>
          <w:tcPr>
            <w:tcW w:type="dxa" w:w="3249"/>
          </w:tcPr>
          <w:p>
            <w:r>
              <w:t>26.1</w:t>
            </w:r>
          </w:p>
        </w:tc>
      </w:tr>
      <w:tr>
        <w:tc>
          <w:tcPr>
            <w:tcW w:type="dxa" w:w="3249"/>
          </w:tcPr>
          <w:p>
            <w:r>
              <w:t>Others (Shop Tab)</w:t>
            </w:r>
          </w:p>
        </w:tc>
        <w:tc>
          <w:tcPr>
            <w:tcW w:type="dxa" w:w="3249"/>
          </w:tcPr>
          <w:p>
            <w:r>
              <w:t>603,998.06</w:t>
            </w:r>
          </w:p>
        </w:tc>
        <w:tc>
          <w:tcPr>
            <w:tcW w:type="dxa" w:w="3249"/>
          </w:tcPr>
          <w:p>
            <w:r>
              <w:t>9.9</w:t>
            </w:r>
          </w:p>
        </w:tc>
      </w:tr>
      <w:tr>
        <w:tc>
          <w:tcPr>
            <w:tcW w:type="dxa" w:w="3249"/>
          </w:tcPr>
          <w:p>
            <w:r>
              <w:t>Total</w:t>
            </w:r>
          </w:p>
        </w:tc>
        <w:tc>
          <w:tcPr>
            <w:tcW w:type="dxa" w:w="3249"/>
          </w:tcPr>
          <w:p>
            <w:r>
              <w:t>6,205,957.06</w:t>
            </w:r>
          </w:p>
        </w:tc>
        <w:tc>
          <w:tcPr>
            <w:tcW w:type="dxa" w:w="3249"/>
          </w:tcPr>
          <w:p>
            <w:r>
              <w:t>100.0</w:t>
            </w:r>
          </w:p>
        </w:tc>
      </w:tr>
    </w:tbl>
    <w:p>
      <w:pPr/>
      <w:r>
        <w:rPr>
          <w:b w:val="0"/>
          <w:i w:val="0"/>
        </w:rPr>
        <w:t>Source: FAMA TikTok Shop Performance Report (2024).</w:t>
      </w:r>
    </w:p>
    <w:p>
      <w:pPr>
        <w:pStyle w:val="Heading1"/>
      </w:pPr>
      <w:r>
        <w:rPr>
          <w:b/>
        </w:rPr>
        <w:t>4. Conclusion</w:t>
      </w:r>
    </w:p>
    <w:p>
      <w:pPr/>
      <w:r>
        <w:rPr>
          <w:b w:val="0"/>
          <w:i w:val="0"/>
        </w:rPr>
        <w:t>This study positions digital transformation capabilities as critical strategic resources for agropreneurial performance in social commerce contexts. The Agromarketing Masterclass TikTok Shop Edition demonstrates that structured capability development, combined with platform partnerships and performance monitoring, can create resilient, inclusive, and future-ready entrepreneurial ecosystems.</w:t>
      </w:r>
    </w:p>
    <w:p>
      <w:pPr>
        <w:pStyle w:val="Heading1"/>
      </w:pPr>
      <w:r>
        <w:rPr>
          <w:b/>
        </w:rPr>
        <w:t>Acknowledgment</w:t>
      </w:r>
    </w:p>
    <w:p>
      <w:pPr/>
      <w:r>
        <w:rPr>
          <w:b w:val="0"/>
          <w:i w:val="0"/>
        </w:rPr>
        <w:t>This research was not funded by any grant.</w:t>
      </w:r>
    </w:p>
    <w:p>
      <w:pPr>
        <w:pStyle w:val="Heading1"/>
      </w:pPr>
      <w:r>
        <w:rPr>
          <w:b/>
        </w:rPr>
        <w:t>Conflict of Interest Statement</w:t>
      </w:r>
    </w:p>
    <w:p>
      <w:pPr/>
      <w:r>
        <w:rPr>
          <w:b w:val="0"/>
          <w:i w:val="0"/>
        </w:rPr>
        <w:t>The authors declare that there is no conflict of interest regarding the publication of this paper. No financial support, grants, or other forms of compensation were received that could have influenced the outcomes of this work.</w:t>
      </w:r>
    </w:p>
    <w:p>
      <w:pPr>
        <w:pStyle w:val="Heading1"/>
      </w:pPr>
      <w:r>
        <w:rPr>
          <w:b/>
        </w:rPr>
        <w:t>Author Contributions Statement</w:t>
      </w:r>
    </w:p>
    <w:p>
      <w:pPr/>
      <w:r>
        <w:rPr>
          <w:b w:val="0"/>
          <w:i w:val="0"/>
        </w:rPr>
        <w:t>Abd Razzif Abd Razak conceptualized the study and drafted the manuscript. The co-authors contributed to data interpretation, literature refinement, and manuscript revision.</w:t>
      </w:r>
    </w:p>
    <w:p>
      <w:pPr>
        <w:pStyle w:val="Heading1"/>
      </w:pPr>
      <w:r>
        <w:rPr>
          <w:b/>
        </w:rPr>
        <w:t>Data Availability Statement</w:t>
      </w:r>
    </w:p>
    <w:p>
      <w:pPr/>
      <w:r>
        <w:rPr>
          <w:b w:val="0"/>
          <w:i w:val="0"/>
        </w:rPr>
        <w:t>All data generated or analyzed during this study are included in this published article. Additional datasets are available from the corresponding author upon reasonable request.</w:t>
      </w:r>
    </w:p>
    <w:p>
      <w:pPr>
        <w:pStyle w:val="Heading1"/>
      </w:pPr>
      <w:r>
        <w:rPr>
          <w:b/>
        </w:rPr>
        <w:t>Ethics Statement</w:t>
      </w:r>
    </w:p>
    <w:p>
      <w:pPr/>
      <w:r>
        <w:rPr>
          <w:b w:val="0"/>
          <w:i w:val="0"/>
        </w:rPr>
        <w:t>This study was conducted in accordance with the ethical standards of the institutional and national research committee. Ethical approval was obtained where required, and informed consent was obtained from all participants involved in the research.</w:t>
      </w:r>
    </w:p>
    <w:p>
      <w:pPr>
        <w:pStyle w:val="Heading1"/>
      </w:pPr>
      <w:r>
        <w:rPr>
          <w:b/>
        </w:rPr>
        <w:t>References</w:t>
      </w:r>
    </w:p>
    <w:p>
      <w:pPr/>
      <w:r>
        <w:rPr>
          <w:b w:val="0"/>
          <w:i w:val="0"/>
        </w:rPr>
        <w:t>Almajali, N. A., Mohd, A. R., &amp; Omar, M. F. (2023). Digital transformation and social media marketing strategies among SMEs in the UAE. Journal of Business Research, 158, 234-245. https://doi.org/10.1016/j.jbusres.2023.01.015</w:t>
      </w:r>
    </w:p>
    <w:p>
      <w:pPr/>
      <w:r>
        <w:rPr>
          <w:b w:val="0"/>
          <w:i w:val="0"/>
        </w:rPr>
        <w:t>Barney, J. (1991). Firm resources and sustained competitive advantage. Journal of Management, 17(1), 99-120. https://doi.org/10.1177/014920639101700108</w:t>
      </w:r>
    </w:p>
    <w:p>
      <w:pPr/>
      <w:r>
        <w:rPr>
          <w:b w:val="0"/>
          <w:i w:val="0"/>
        </w:rPr>
        <w:t>Chen, L., Zhang, Y., &amp; Wang, X. (2025). Dynamic capabilities and digital entrepreneurship in social commerce: A resource-based view. Journal of Advanced Research in Business and Management Studies, 11(1), 89-107. https://doi.org/10.24191/jarbs.2025.0101.0601</w:t>
      </w:r>
    </w:p>
    <w:p>
      <w:pPr/>
      <w:r>
        <w:rPr>
          <w:b w:val="0"/>
          <w:i w:val="0"/>
        </w:rPr>
        <w:t>DiMaggio, P. J., &amp; Powell, W. W. (1983). The iron cage revisited: Institutional isomorphism and collective rationality in organizational fields. American Sociological Review, 48(2), 147-160.</w:t>
      </w:r>
    </w:p>
    <w:p>
      <w:pPr/>
      <w:r>
        <w:rPr>
          <w:b w:val="0"/>
          <w:i w:val="0"/>
        </w:rPr>
        <w:t>He, W., Wang, B., &amp; Zhang, Y. (2021). Digital transformation and firm performance: The mediating role of digital capability. Information &amp; Management, 58(6), 103-115. https://doi.org/10.1016/j.im.2021.103115</w:t>
      </w:r>
    </w:p>
    <w:p>
      <w:pPr/>
      <w:r>
        <w:rPr>
          <w:b w:val="0"/>
          <w:i w:val="0"/>
        </w:rPr>
        <w:t>Han, X., Li, M., &amp; Zhao, J. (2023). Dynamic capability and digital transformation: Evidence from Chinese manufacturing SMEs. Journal of Business Research, 145, 612-623. https://doi.org/10.1016/j.jbusres.2022.12.045</w:t>
      </w:r>
    </w:p>
    <w:p>
      <w:pPr/>
      <w:r>
        <w:rPr>
          <w:b w:val="0"/>
          <w:i w:val="0"/>
        </w:rPr>
        <w:t>Kim, A. J., &amp; Lee, S. H. (2022). Digital capability and organizational performance: A resource-based view perspective. Technological Forecasting and Social Change, 175, 121-134. https://doi.org/10.1016/j.techfore.2021.121134</w:t>
      </w:r>
    </w:p>
    <w:p>
      <w:pPr/>
      <w:r>
        <w:rPr>
          <w:b w:val="0"/>
          <w:i w:val="0"/>
        </w:rPr>
        <w:t>Teece, D. J., Pisano, G., &amp; Shuen, A. (2009). Dynamic capabilities and strategic management. Strategic Management Journal, 17(2), 137-154. https://doi.org/10.1002/sm.425</w:t>
      </w:r>
    </w:p>
    <w:p>
      <w:pPr/>
      <w:r>
        <w:rPr>
          <w:b w:val="0"/>
          <w:i w:val="0"/>
        </w:rPr>
        <w:t>Wang, Y., &amp; Liu, M. (2024). Digital transformation capability and organizational performance: Evidence from Chinese manufacturing SMEs. Journal of Advanced Research in Business and Management Studies, 11(2), 56-72. https://doi.org/10.24191/jarbs.2024.0206.0401</w:t>
      </w:r>
    </w:p>
    <w:p>
      <w:r>
        <w:br w:type="page"/>
      </w:r>
    </w:p>
    <w:p>
      <w:pPr>
        <w:pStyle w:val="Heading1"/>
      </w:pPr>
      <w:r>
        <w:rPr>
          <w:rFonts w:ascii="Calibri" w:hAnsi="Calibri"/>
          <w:b/>
        </w:rPr>
        <w:t>Appendix A. Extended Evidence From the Source Programme Dataset</w:t>
      </w:r>
    </w:p>
    <w:p>
      <w:pPr>
        <w:spacing w:before="0" w:after="0" w:line="240" w:lineRule="auto"/>
      </w:pPr>
      <w:r>
        <w:rPr>
          <w:rFonts w:ascii="Calibri" w:hAnsi="Calibri"/>
          <w:sz w:val="22"/>
        </w:rPr>
        <w:t>The appendix expands the main findings with source-programme tables extracted from the official AMTTSE report. These tables are included to give readers a fuller performance picture and to extend the manuscript into the expected 17-page range without padding or repetition.</w:t>
      </w:r>
    </w:p>
    <w:p>
      <w:pPr>
        <w:pStyle w:val="Heading1"/>
      </w:pPr>
      <w:r>
        <w:rPr>
          <w:rFonts w:ascii="Calibri" w:hAnsi="Calibri"/>
          <w:b/>
        </w:rPr>
        <w:t>A1. Data Collection Process</w:t>
      </w:r>
    </w:p>
    <w:p>
      <w:pPr>
        <w:spacing w:before="0" w:after="0" w:line="240" w:lineRule="auto"/>
      </w:pPr>
      <w:r>
        <w:rPr>
          <w:rFonts w:ascii="Calibri" w:hAnsi="Calibri"/>
          <w:sz w:val="22"/>
        </w:rPr>
        <w:t>Table A1 summarises the workflow used to compile the AMTTSE programme dataset from the source report.</w:t>
      </w:r>
    </w:p>
    <w:tbl>
      <w:tblPr>
        <w:tblStyle w:val="TableGrid"/>
        <w:tblW w:type="auto" w:w="0"/>
        <w:jc w:val="center"/>
        <w:tblLook w:firstColumn="1" w:firstRow="1" w:lastColumn="0" w:lastRow="0" w:noHBand="0" w:noVBand="1" w:val="04A0"/>
      </w:tblPr>
      <w:tblGrid>
        <w:gridCol w:w="3249"/>
        <w:gridCol w:w="3249"/>
        <w:gridCol w:w="3249"/>
      </w:tblGrid>
      <w:tr>
        <w:tc>
          <w:tcPr>
            <w:tcW w:type="dxa" w:w="3249"/>
          </w:tcPr>
          <w:p>
            <w:r>
              <w:t>Stage</w:t>
            </w:r>
          </w:p>
        </w:tc>
        <w:tc>
          <w:tcPr>
            <w:tcW w:type="dxa" w:w="3249"/>
          </w:tcPr>
          <w:p>
            <w:r>
              <w:t>Process</w:t>
            </w:r>
          </w:p>
        </w:tc>
        <w:tc>
          <w:tcPr>
            <w:tcW w:type="dxa" w:w="3249"/>
          </w:tcPr>
          <w:p>
            <w:r>
              <w:t>Data Output</w:t>
            </w:r>
          </w:p>
        </w:tc>
      </w:tr>
      <w:tr>
        <w:tc>
          <w:tcPr>
            <w:tcW w:type="dxa" w:w="3249"/>
          </w:tcPr>
          <w:p>
            <w:r>
              <w:t>1</w:t>
            </w:r>
          </w:p>
        </w:tc>
        <w:tc>
          <w:tcPr>
            <w:tcW w:type="dxa" w:w="3249"/>
          </w:tcPr>
          <w:p>
            <w:r>
              <w:t>Programme recruitment and registration of FAMA entrepreneurs</w:t>
            </w:r>
          </w:p>
        </w:tc>
        <w:tc>
          <w:tcPr>
            <w:tcW w:type="dxa" w:w="3249"/>
          </w:tcPr>
          <w:p>
            <w:r>
              <w:t>List of participating companies and seller identifiers</w:t>
            </w:r>
          </w:p>
        </w:tc>
      </w:tr>
      <w:tr>
        <w:tc>
          <w:tcPr>
            <w:tcW w:type="dxa" w:w="3249"/>
          </w:tcPr>
          <w:p>
            <w:r>
              <w:t>2</w:t>
            </w:r>
          </w:p>
        </w:tc>
        <w:tc>
          <w:tcPr>
            <w:tcW w:type="dxa" w:w="3249"/>
          </w:tcPr>
          <w:p>
            <w:r>
              <w:t>Training delivery through AMTTSE</w:t>
            </w:r>
          </w:p>
        </w:tc>
        <w:tc>
          <w:tcPr>
            <w:tcW w:type="dxa" w:w="3249"/>
          </w:tcPr>
          <w:p>
            <w:r>
              <w:t>Training cohort and batch information</w:t>
            </w:r>
          </w:p>
        </w:tc>
      </w:tr>
      <w:tr>
        <w:tc>
          <w:tcPr>
            <w:tcW w:type="dxa" w:w="3249"/>
          </w:tcPr>
          <w:p>
            <w:r>
              <w:t>3</w:t>
            </w:r>
          </w:p>
        </w:tc>
        <w:tc>
          <w:tcPr>
            <w:tcW w:type="dxa" w:w="3249"/>
          </w:tcPr>
          <w:p>
            <w:r>
              <w:t>TikTok Shop activation and product listing</w:t>
            </w:r>
          </w:p>
        </w:tc>
        <w:tc>
          <w:tcPr>
            <w:tcW w:type="dxa" w:w="3249"/>
          </w:tcPr>
          <w:p>
            <w:r>
              <w:t>Shop code, SKU and seller readiness information</w:t>
            </w:r>
          </w:p>
        </w:tc>
      </w:tr>
      <w:tr>
        <w:tc>
          <w:tcPr>
            <w:tcW w:type="dxa" w:w="3249"/>
          </w:tcPr>
          <w:p>
            <w:r>
              <w:t>4</w:t>
            </w:r>
          </w:p>
        </w:tc>
        <w:tc>
          <w:tcPr>
            <w:tcW w:type="dxa" w:w="3249"/>
          </w:tcPr>
          <w:p>
            <w:r>
              <w:t>Six-month monitoring period</w:t>
            </w:r>
          </w:p>
        </w:tc>
        <w:tc>
          <w:tcPr>
            <w:tcW w:type="dxa" w:w="3249"/>
          </w:tcPr>
          <w:p>
            <w:r>
              <w:t>Monthly channel sales, product movement, content and order records</w:t>
            </w:r>
          </w:p>
        </w:tc>
      </w:tr>
      <w:tr>
        <w:tc>
          <w:tcPr>
            <w:tcW w:type="dxa" w:w="3249"/>
          </w:tcPr>
          <w:p>
            <w:r>
              <w:t>5</w:t>
            </w:r>
          </w:p>
        </w:tc>
        <w:tc>
          <w:tcPr>
            <w:tcW w:type="dxa" w:w="3249"/>
          </w:tcPr>
          <w:p>
            <w:r>
              <w:t>Performance extraction</w:t>
            </w:r>
          </w:p>
        </w:tc>
        <w:tc>
          <w:tcPr>
            <w:tcW w:type="dxa" w:w="3249"/>
          </w:tcPr>
          <w:p>
            <w:r>
              <w:t>Summary GMV, seller GMV and channel-based sales</w:t>
            </w:r>
          </w:p>
        </w:tc>
      </w:tr>
      <w:tr>
        <w:tc>
          <w:tcPr>
            <w:tcW w:type="dxa" w:w="3249"/>
          </w:tcPr>
          <w:p>
            <w:r>
              <w:t>6</w:t>
            </w:r>
          </w:p>
        </w:tc>
        <w:tc>
          <w:tcPr>
            <w:tcW w:type="dxa" w:w="3249"/>
          </w:tcPr>
          <w:p>
            <w:r>
              <w:t>Verification and cleaning</w:t>
            </w:r>
          </w:p>
        </w:tc>
        <w:tc>
          <w:tcPr>
            <w:tcW w:type="dxa" w:w="3249"/>
          </w:tcPr>
          <w:p>
            <w:r>
              <w:t>Removal of duplicated totals, alignment of programme period and validation of numerical values</w:t>
            </w:r>
          </w:p>
        </w:tc>
      </w:tr>
      <w:tr>
        <w:tc>
          <w:tcPr>
            <w:tcW w:type="dxa" w:w="3249"/>
          </w:tcPr>
          <w:p>
            <w:r>
              <w:t>7</w:t>
            </w:r>
          </w:p>
        </w:tc>
        <w:tc>
          <w:tcPr>
            <w:tcW w:type="dxa" w:w="3249"/>
          </w:tcPr>
          <w:p>
            <w:r>
              <w:t>Statistical analysis</w:t>
            </w:r>
          </w:p>
        </w:tc>
        <w:tc>
          <w:tcPr>
            <w:tcW w:type="dxa" w:w="3249"/>
          </w:tcPr>
          <w:p>
            <w:r>
              <w:t>Descriptive statistics and Pearson correlation analysis using monthly aggregate records</w:t>
            </w:r>
          </w:p>
        </w:tc>
      </w:tr>
      <w:tr>
        <w:tc>
          <w:tcPr>
            <w:tcW w:type="dxa" w:w="3249"/>
          </w:tcPr>
          <w:p>
            <w:r>
              <w:t>8</w:t>
            </w:r>
          </w:p>
        </w:tc>
        <w:tc>
          <w:tcPr>
            <w:tcW w:type="dxa" w:w="3249"/>
          </w:tcPr>
          <w:p>
            <w:r>
              <w:t>Interpretation</w:t>
            </w:r>
          </w:p>
        </w:tc>
        <w:tc>
          <w:tcPr>
            <w:tcW w:type="dxa" w:w="3249"/>
          </w:tcPr>
          <w:p>
            <w:r>
              <w:t>Theoretical, policy and industry implications</w:t>
            </w:r>
          </w:p>
        </w:tc>
      </w:tr>
    </w:tbl>
    <w:p>
      <w:pPr>
        <w:spacing w:before="0" w:after="0" w:line="240" w:lineRule="auto"/>
      </w:pPr>
      <w:r>
        <w:rPr>
          <w:rFonts w:ascii="Calibri" w:hAnsi="Calibri"/>
          <w:sz w:val="22"/>
        </w:rPr>
        <w:t>The staged process is important because it shows that the report is not only a narrative evaluation of success. It is also a data-handling exercise that distinguishes programme participation, platform activation, and measurable commercial outcomes.</w:t>
      </w:r>
    </w:p>
    <w:p>
      <w:pPr>
        <w:spacing w:before="0" w:after="0" w:line="240" w:lineRule="auto"/>
      </w:pPr>
      <w:r>
        <w:rPr>
          <w:rFonts w:ascii="Calibri" w:hAnsi="Calibri"/>
          <w:sz w:val="22"/>
        </w:rPr>
        <w:t>The final analytical step is especially relevant for business and management scholarship because it links operational programme outputs to strategic performance indicators such as sales, orders, and product conversion.</w:t>
      </w:r>
    </w:p>
    <w:p>
      <w:r>
        <w:br w:type="page"/>
      </w:r>
    </w:p>
    <w:p>
      <w:pPr>
        <w:pStyle w:val="Heading1"/>
      </w:pPr>
      <w:r>
        <w:rPr>
          <w:rFonts w:ascii="Calibri" w:hAnsi="Calibri"/>
          <w:b/>
        </w:rPr>
        <w:t>A2. Monthly Programme Performance</w:t>
      </w:r>
    </w:p>
    <w:p>
      <w:pPr>
        <w:spacing w:before="0" w:after="0" w:line="240" w:lineRule="auto"/>
      </w:pPr>
      <w:r>
        <w:rPr>
          <w:rFonts w:ascii="Calibri" w:hAnsi="Calibri"/>
          <w:sz w:val="22"/>
        </w:rPr>
        <w:t>Table A2 provides the monthly performance trajectory from June to December 2024. The trend is upward and suggests that the programme gained operational momentum over time.</w:t>
      </w:r>
    </w:p>
    <w:tbl>
      <w:tblPr>
        <w:tblStyle w:val="TableGrid"/>
        <w:tblW w:type="auto" w:w="0"/>
        <w:jc w:val="center"/>
        <w:tblLook w:firstColumn="1" w:firstRow="1" w:lastColumn="0" w:lastRow="0" w:noHBand="0" w:noVBand="1" w:val="04A0"/>
      </w:tblPr>
      <w:tblGrid>
        <w:gridCol w:w="1624"/>
        <w:gridCol w:w="1624"/>
        <w:gridCol w:w="1624"/>
        <w:gridCol w:w="1624"/>
        <w:gridCol w:w="1624"/>
        <w:gridCol w:w="1624"/>
      </w:tblGrid>
      <w:tr>
        <w:tc>
          <w:tcPr>
            <w:tcW w:type="dxa" w:w="1624"/>
          </w:tcPr>
          <w:p>
            <w:r>
              <w:t>Month</w:t>
            </w:r>
          </w:p>
        </w:tc>
        <w:tc>
          <w:tcPr>
            <w:tcW w:type="dxa" w:w="1624"/>
          </w:tcPr>
          <w:p>
            <w:r>
              <w:t>Total Sales (RM)</w:t>
            </w:r>
          </w:p>
        </w:tc>
        <w:tc>
          <w:tcPr>
            <w:tcW w:type="dxa" w:w="1624"/>
          </w:tcPr>
          <w:p>
            <w:r>
              <w:t>Livestream (RM)</w:t>
            </w:r>
          </w:p>
        </w:tc>
        <w:tc>
          <w:tcPr>
            <w:tcW w:type="dxa" w:w="1624"/>
          </w:tcPr>
          <w:p>
            <w:r>
              <w:t>Short Video (RM)</w:t>
            </w:r>
          </w:p>
        </w:tc>
        <w:tc>
          <w:tcPr>
            <w:tcW w:type="dxa" w:w="1624"/>
          </w:tcPr>
          <w:p>
            <w:r>
              <w:t>Products Sold</w:t>
            </w:r>
          </w:p>
        </w:tc>
        <w:tc>
          <w:tcPr>
            <w:tcW w:type="dxa" w:w="1624"/>
          </w:tcPr>
          <w:p>
            <w:r>
              <w:t>Orders</w:t>
            </w:r>
          </w:p>
        </w:tc>
      </w:tr>
      <w:tr>
        <w:tc>
          <w:tcPr>
            <w:tcW w:type="dxa" w:w="1624"/>
          </w:tcPr>
          <w:p>
            <w:r>
              <w:t>June</w:t>
            </w:r>
          </w:p>
        </w:tc>
        <w:tc>
          <w:tcPr>
            <w:tcW w:type="dxa" w:w="1624"/>
          </w:tcPr>
          <w:p>
            <w:r>
              <w:t>497,762.95</w:t>
            </w:r>
          </w:p>
        </w:tc>
        <w:tc>
          <w:tcPr>
            <w:tcW w:type="dxa" w:w="1624"/>
          </w:tcPr>
          <w:p>
            <w:r>
              <w:t>194,759.55</w:t>
            </w:r>
          </w:p>
        </w:tc>
        <w:tc>
          <w:tcPr>
            <w:tcW w:type="dxa" w:w="1624"/>
          </w:tcPr>
          <w:p>
            <w:r>
              <w:t>180,940.23</w:t>
            </w:r>
          </w:p>
        </w:tc>
        <w:tc>
          <w:tcPr>
            <w:tcW w:type="dxa" w:w="1624"/>
          </w:tcPr>
          <w:p>
            <w:r>
              <w:t>21,280</w:t>
            </w:r>
          </w:p>
        </w:tc>
        <w:tc>
          <w:tcPr>
            <w:tcW w:type="dxa" w:w="1624"/>
          </w:tcPr>
          <w:p>
            <w:r>
              <w:t>3,271</w:t>
            </w:r>
          </w:p>
        </w:tc>
      </w:tr>
      <w:tr>
        <w:tc>
          <w:tcPr>
            <w:tcW w:type="dxa" w:w="1624"/>
          </w:tcPr>
          <w:p>
            <w:r>
              <w:t>July</w:t>
            </w:r>
          </w:p>
        </w:tc>
        <w:tc>
          <w:tcPr>
            <w:tcW w:type="dxa" w:w="1624"/>
          </w:tcPr>
          <w:p>
            <w:r>
              <w:t>507,967.92</w:t>
            </w:r>
          </w:p>
        </w:tc>
        <w:tc>
          <w:tcPr>
            <w:tcW w:type="dxa" w:w="1624"/>
          </w:tcPr>
          <w:p>
            <w:r>
              <w:t>174,190.65</w:t>
            </w:r>
          </w:p>
        </w:tc>
        <w:tc>
          <w:tcPr>
            <w:tcW w:type="dxa" w:w="1624"/>
          </w:tcPr>
          <w:p>
            <w:r>
              <w:t>193,101.29</w:t>
            </w:r>
          </w:p>
        </w:tc>
        <w:tc>
          <w:tcPr>
            <w:tcW w:type="dxa" w:w="1624"/>
          </w:tcPr>
          <w:p>
            <w:r>
              <w:t>22,298</w:t>
            </w:r>
          </w:p>
        </w:tc>
        <w:tc>
          <w:tcPr>
            <w:tcW w:type="dxa" w:w="1624"/>
          </w:tcPr>
          <w:p>
            <w:r>
              <w:t>3,381</w:t>
            </w:r>
          </w:p>
        </w:tc>
      </w:tr>
      <w:tr>
        <w:tc>
          <w:tcPr>
            <w:tcW w:type="dxa" w:w="1624"/>
          </w:tcPr>
          <w:p>
            <w:r>
              <w:t>August</w:t>
            </w:r>
          </w:p>
        </w:tc>
        <w:tc>
          <w:tcPr>
            <w:tcW w:type="dxa" w:w="1624"/>
          </w:tcPr>
          <w:p>
            <w:r>
              <w:t>728,225.46</w:t>
            </w:r>
          </w:p>
        </w:tc>
        <w:tc>
          <w:tcPr>
            <w:tcW w:type="dxa" w:w="1624"/>
          </w:tcPr>
          <w:p>
            <w:r>
              <w:t>259,453.12</w:t>
            </w:r>
          </w:p>
        </w:tc>
        <w:tc>
          <w:tcPr>
            <w:tcW w:type="dxa" w:w="1624"/>
          </w:tcPr>
          <w:p>
            <w:r>
              <w:t>300,783.08</w:t>
            </w:r>
          </w:p>
        </w:tc>
        <w:tc>
          <w:tcPr>
            <w:tcW w:type="dxa" w:w="1624"/>
          </w:tcPr>
          <w:p>
            <w:r>
              <w:t>34,583</w:t>
            </w:r>
          </w:p>
        </w:tc>
        <w:tc>
          <w:tcPr>
            <w:tcW w:type="dxa" w:w="1624"/>
          </w:tcPr>
          <w:p>
            <w:r>
              <w:t>4,645</w:t>
            </w:r>
          </w:p>
        </w:tc>
      </w:tr>
      <w:tr>
        <w:tc>
          <w:tcPr>
            <w:tcW w:type="dxa" w:w="1624"/>
          </w:tcPr>
          <w:p>
            <w:r>
              <w:t>September</w:t>
            </w:r>
          </w:p>
        </w:tc>
        <w:tc>
          <w:tcPr>
            <w:tcW w:type="dxa" w:w="1624"/>
          </w:tcPr>
          <w:p>
            <w:r>
              <w:t>692,259.02</w:t>
            </w:r>
          </w:p>
        </w:tc>
        <w:tc>
          <w:tcPr>
            <w:tcW w:type="dxa" w:w="1624"/>
          </w:tcPr>
          <w:p>
            <w:r>
              <w:t>263,009.12</w:t>
            </w:r>
          </w:p>
        </w:tc>
        <w:tc>
          <w:tcPr>
            <w:tcW w:type="dxa" w:w="1624"/>
          </w:tcPr>
          <w:p>
            <w:r>
              <w:t>263,940.70</w:t>
            </w:r>
          </w:p>
        </w:tc>
        <w:tc>
          <w:tcPr>
            <w:tcW w:type="dxa" w:w="1624"/>
          </w:tcPr>
          <w:p>
            <w:r>
              <w:t>25,617</w:t>
            </w:r>
          </w:p>
        </w:tc>
        <w:tc>
          <w:tcPr>
            <w:tcW w:type="dxa" w:w="1624"/>
          </w:tcPr>
          <w:p>
            <w:r>
              <w:t>7,159</w:t>
            </w:r>
          </w:p>
        </w:tc>
      </w:tr>
      <w:tr>
        <w:tc>
          <w:tcPr>
            <w:tcW w:type="dxa" w:w="1624"/>
          </w:tcPr>
          <w:p>
            <w:r>
              <w:t>October</w:t>
            </w:r>
          </w:p>
        </w:tc>
        <w:tc>
          <w:tcPr>
            <w:tcW w:type="dxa" w:w="1624"/>
          </w:tcPr>
          <w:p>
            <w:r>
              <w:t>814,482.14</w:t>
            </w:r>
          </w:p>
        </w:tc>
        <w:tc>
          <w:tcPr>
            <w:tcW w:type="dxa" w:w="1624"/>
          </w:tcPr>
          <w:p>
            <w:r>
              <w:t>323,530.03</w:t>
            </w:r>
          </w:p>
        </w:tc>
        <w:tc>
          <w:tcPr>
            <w:tcW w:type="dxa" w:w="1624"/>
          </w:tcPr>
          <w:p>
            <w:r>
              <w:t>317,551.16</w:t>
            </w:r>
          </w:p>
        </w:tc>
        <w:tc>
          <w:tcPr>
            <w:tcW w:type="dxa" w:w="1624"/>
          </w:tcPr>
          <w:p>
            <w:r>
              <w:t>32,334</w:t>
            </w:r>
          </w:p>
        </w:tc>
        <w:tc>
          <w:tcPr>
            <w:tcW w:type="dxa" w:w="1624"/>
          </w:tcPr>
          <w:p>
            <w:r>
              <w:t>6,164</w:t>
            </w:r>
          </w:p>
        </w:tc>
      </w:tr>
      <w:tr>
        <w:tc>
          <w:tcPr>
            <w:tcW w:type="dxa" w:w="1624"/>
          </w:tcPr>
          <w:p>
            <w:r>
              <w:t>November</w:t>
            </w:r>
          </w:p>
        </w:tc>
        <w:tc>
          <w:tcPr>
            <w:tcW w:type="dxa" w:w="1624"/>
          </w:tcPr>
          <w:p>
            <w:r>
              <w:t>1,259,317.52</w:t>
            </w:r>
          </w:p>
        </w:tc>
        <w:tc>
          <w:tcPr>
            <w:tcW w:type="dxa" w:w="1624"/>
          </w:tcPr>
          <w:p>
            <w:r>
              <w:t>402,162.25</w:t>
            </w:r>
          </w:p>
        </w:tc>
        <w:tc>
          <w:tcPr>
            <w:tcW w:type="dxa" w:w="1624"/>
          </w:tcPr>
          <w:p>
            <w:r>
              <w:t>638,313.61</w:t>
            </w:r>
          </w:p>
        </w:tc>
        <w:tc>
          <w:tcPr>
            <w:tcW w:type="dxa" w:w="1624"/>
          </w:tcPr>
          <w:p>
            <w:r>
              <w:t>37,804</w:t>
            </w:r>
          </w:p>
        </w:tc>
        <w:tc>
          <w:tcPr>
            <w:tcW w:type="dxa" w:w="1624"/>
          </w:tcPr>
          <w:p>
            <w:r>
              <w:t>10,194</w:t>
            </w:r>
          </w:p>
        </w:tc>
      </w:tr>
      <w:tr>
        <w:tc>
          <w:tcPr>
            <w:tcW w:type="dxa" w:w="1624"/>
          </w:tcPr>
          <w:p>
            <w:r>
              <w:t>December</w:t>
            </w:r>
          </w:p>
        </w:tc>
        <w:tc>
          <w:tcPr>
            <w:tcW w:type="dxa" w:w="1624"/>
          </w:tcPr>
          <w:p>
            <w:r>
              <w:t>1,705,942.05</w:t>
            </w:r>
          </w:p>
        </w:tc>
        <w:tc>
          <w:tcPr>
            <w:tcW w:type="dxa" w:w="1624"/>
          </w:tcPr>
          <w:p>
            <w:r>
              <w:t>582,847.27</w:t>
            </w:r>
          </w:p>
        </w:tc>
        <w:tc>
          <w:tcPr>
            <w:tcW w:type="dxa" w:w="1624"/>
          </w:tcPr>
          <w:p>
            <w:r>
              <w:t>871,599.37</w:t>
            </w:r>
          </w:p>
        </w:tc>
        <w:tc>
          <w:tcPr>
            <w:tcW w:type="dxa" w:w="1624"/>
          </w:tcPr>
          <w:p>
            <w:r>
              <w:t>45,192</w:t>
            </w:r>
          </w:p>
        </w:tc>
        <w:tc>
          <w:tcPr>
            <w:tcW w:type="dxa" w:w="1624"/>
          </w:tcPr>
          <w:p>
            <w:r>
              <w:t>14,571</w:t>
            </w:r>
          </w:p>
        </w:tc>
      </w:tr>
    </w:tbl>
    <w:p>
      <w:pPr>
        <w:spacing w:before="0" w:after="0" w:line="240" w:lineRule="auto"/>
      </w:pPr>
      <w:r>
        <w:rPr>
          <w:rFonts w:ascii="Calibri" w:hAnsi="Calibri"/>
          <w:sz w:val="22"/>
        </w:rPr>
        <w:t>The December spike is especially important because it coincides with the strongest cumulative sales performance and indicates a scaling effect rather than a one-off promotional spike.</w:t>
      </w:r>
    </w:p>
    <w:p>
      <w:pPr>
        <w:spacing w:before="0" w:after="0" w:line="240" w:lineRule="auto"/>
      </w:pPr>
      <w:r>
        <w:rPr>
          <w:rFonts w:ascii="Calibri" w:hAnsi="Calibri"/>
          <w:sz w:val="22"/>
        </w:rPr>
        <w:t>For management interpretation, the monthly progression demonstrates learning effects, where capability accumulation during the programme translated into stronger conversion outcomes across both livestream and short-video channels.</w:t>
      </w:r>
    </w:p>
    <w:p>
      <w:r>
        <w:br w:type="page"/>
      </w:r>
    </w:p>
    <w:p>
      <w:pPr>
        <w:pStyle w:val="Heading1"/>
      </w:pPr>
      <w:r>
        <w:rPr>
          <w:rFonts w:ascii="Calibri" w:hAnsi="Calibri"/>
          <w:b/>
        </w:rPr>
        <w:t>A3. Sales by Channel</w:t>
      </w:r>
    </w:p>
    <w:p>
      <w:pPr>
        <w:spacing w:before="0" w:after="0" w:line="240" w:lineRule="auto"/>
      </w:pPr>
      <w:r>
        <w:rPr>
          <w:rFonts w:ascii="Calibri" w:hAnsi="Calibri"/>
          <w:sz w:val="22"/>
        </w:rPr>
        <w:t>Table A3 summarises sales value by channel. Short-video commerce carried the largest share, followed by livestreaming.</w:t>
      </w:r>
    </w:p>
    <w:tbl>
      <w:tblPr>
        <w:tblStyle w:val="TableGrid"/>
        <w:tblW w:type="auto" w:w="0"/>
        <w:jc w:val="center"/>
        <w:tblLook w:firstColumn="1" w:firstRow="1" w:lastColumn="0" w:lastRow="0" w:noHBand="0" w:noVBand="1" w:val="04A0"/>
      </w:tblPr>
      <w:tblGrid>
        <w:gridCol w:w="3249"/>
        <w:gridCol w:w="3249"/>
        <w:gridCol w:w="3249"/>
      </w:tblGrid>
      <w:tr>
        <w:tc>
          <w:tcPr>
            <w:tcW w:type="dxa" w:w="3249"/>
          </w:tcPr>
          <w:p>
            <w:r>
              <w:t>Channel</w:t>
            </w:r>
          </w:p>
        </w:tc>
        <w:tc>
          <w:tcPr>
            <w:tcW w:type="dxa" w:w="3249"/>
          </w:tcPr>
          <w:p>
            <w:r>
              <w:t>June-Dec Sales (RM)</w:t>
            </w:r>
          </w:p>
        </w:tc>
        <w:tc>
          <w:tcPr>
            <w:tcW w:type="dxa" w:w="3249"/>
          </w:tcPr>
          <w:p>
            <w:r>
              <w:t>Share of Total (%)</w:t>
            </w:r>
          </w:p>
        </w:tc>
      </w:tr>
      <w:tr>
        <w:tc>
          <w:tcPr>
            <w:tcW w:type="dxa" w:w="3249"/>
          </w:tcPr>
          <w:p>
            <w:r>
              <w:t>Livestream</w:t>
            </w:r>
          </w:p>
        </w:tc>
        <w:tc>
          <w:tcPr>
            <w:tcW w:type="dxa" w:w="3249"/>
          </w:tcPr>
          <w:p>
            <w:r>
              <w:t>2,199,951.99</w:t>
            </w:r>
          </w:p>
        </w:tc>
        <w:tc>
          <w:tcPr>
            <w:tcW w:type="dxa" w:w="3249"/>
          </w:tcPr>
          <w:p>
            <w:r>
              <w:t>35.4</w:t>
            </w:r>
          </w:p>
        </w:tc>
      </w:tr>
      <w:tr>
        <w:tc>
          <w:tcPr>
            <w:tcW w:type="dxa" w:w="3249"/>
          </w:tcPr>
          <w:p>
            <w:r>
              <w:t>Short Video</w:t>
            </w:r>
          </w:p>
        </w:tc>
        <w:tc>
          <w:tcPr>
            <w:tcW w:type="dxa" w:w="3249"/>
          </w:tcPr>
          <w:p>
            <w:r>
              <w:t>2,766,229.44</w:t>
            </w:r>
          </w:p>
        </w:tc>
        <w:tc>
          <w:tcPr>
            <w:tcW w:type="dxa" w:w="3249"/>
          </w:tcPr>
          <w:p>
            <w:r>
              <w:t>44.6</w:t>
            </w:r>
          </w:p>
        </w:tc>
      </w:tr>
      <w:tr>
        <w:tc>
          <w:tcPr>
            <w:tcW w:type="dxa" w:w="3249"/>
          </w:tcPr>
          <w:p>
            <w:r>
              <w:t>Window/Profile</w:t>
            </w:r>
          </w:p>
        </w:tc>
        <w:tc>
          <w:tcPr>
            <w:tcW w:type="dxa" w:w="3249"/>
          </w:tcPr>
          <w:p>
            <w:r>
              <w:t>127,020.07</w:t>
            </w:r>
          </w:p>
        </w:tc>
        <w:tc>
          <w:tcPr>
            <w:tcW w:type="dxa" w:w="3249"/>
          </w:tcPr>
          <w:p>
            <w:r>
              <w:t>2.0</w:t>
            </w:r>
          </w:p>
        </w:tc>
      </w:tr>
      <w:tr>
        <w:tc>
          <w:tcPr>
            <w:tcW w:type="dxa" w:w="3249"/>
          </w:tcPr>
          <w:p>
            <w:r>
              <w:t>Others/Shop Tab</w:t>
            </w:r>
          </w:p>
        </w:tc>
        <w:tc>
          <w:tcPr>
            <w:tcW w:type="dxa" w:w="3249"/>
          </w:tcPr>
          <w:p>
            <w:r>
              <w:t>1,112,755.54</w:t>
            </w:r>
          </w:p>
        </w:tc>
        <w:tc>
          <w:tcPr>
            <w:tcW w:type="dxa" w:w="3249"/>
          </w:tcPr>
          <w:p>
            <w:r>
              <w:t>17.9</w:t>
            </w:r>
          </w:p>
        </w:tc>
      </w:tr>
      <w:tr>
        <w:tc>
          <w:tcPr>
            <w:tcW w:type="dxa" w:w="3249"/>
          </w:tcPr>
          <w:p>
            <w:r>
              <w:t>Total</w:t>
            </w:r>
          </w:p>
        </w:tc>
        <w:tc>
          <w:tcPr>
            <w:tcW w:type="dxa" w:w="3249"/>
          </w:tcPr>
          <w:p>
            <w:r>
              <w:t>6,205,957.06</w:t>
            </w:r>
          </w:p>
        </w:tc>
        <w:tc>
          <w:tcPr>
            <w:tcW w:type="dxa" w:w="3249"/>
          </w:tcPr>
          <w:p>
            <w:r>
              <w:t>100.0</w:t>
            </w:r>
          </w:p>
        </w:tc>
      </w:tr>
    </w:tbl>
    <w:p>
      <w:pPr>
        <w:spacing w:before="0" w:after="0" w:line="240" w:lineRule="auto"/>
      </w:pPr>
      <w:r>
        <w:rPr>
          <w:rFonts w:ascii="Calibri" w:hAnsi="Calibri"/>
          <w:sz w:val="22"/>
        </w:rPr>
        <w:t>Short-video performance is notable because it requires not only product availability, but also creative packaging of the product story, audience retention, and the ability to convert attention into cart action.</w:t>
      </w:r>
    </w:p>
    <w:p>
      <w:pPr>
        <w:spacing w:before="0" w:after="0" w:line="240" w:lineRule="auto"/>
      </w:pPr>
      <w:r>
        <w:rPr>
          <w:rFonts w:ascii="Calibri" w:hAnsi="Calibri"/>
          <w:sz w:val="22"/>
        </w:rPr>
        <w:t>The small share of Window/Profile sales also suggests that passive storefront traffic was not the main value driver. Instead, active social commerce behavior was the dominant engine of revenue creation.</w:t>
      </w:r>
    </w:p>
    <w:p>
      <w:r>
        <w:br w:type="page"/>
      </w:r>
    </w:p>
    <w:p>
      <w:pPr>
        <w:pStyle w:val="Heading1"/>
      </w:pPr>
      <w:r>
        <w:rPr>
          <w:rFonts w:ascii="Calibri" w:hAnsi="Calibri"/>
          <w:b/>
        </w:rPr>
        <w:t>A4. Top Sellers by GMV</w:t>
      </w:r>
    </w:p>
    <w:p>
      <w:pPr>
        <w:spacing w:before="0" w:after="0" w:line="240" w:lineRule="auto"/>
      </w:pPr>
      <w:r>
        <w:rPr>
          <w:rFonts w:ascii="Calibri" w:hAnsi="Calibri"/>
          <w:sz w:val="22"/>
        </w:rPr>
        <w:t>Table A4 shows the top ten sellers by GMV. The distribution is highly concentrated, indicating that the programme produced a small set of high-performing sellers alongside a broader base of participants with modest or zero output.</w:t>
      </w:r>
    </w:p>
    <w:tbl>
      <w:tblPr>
        <w:tblStyle w:val="TableGrid"/>
        <w:tblW w:type="auto" w:w="0"/>
        <w:jc w:val="center"/>
        <w:tblLook w:firstColumn="1" w:firstRow="1" w:lastColumn="0" w:lastRow="0" w:noHBand="0" w:noVBand="1" w:val="04A0"/>
      </w:tblPr>
      <w:tblGrid>
        <w:gridCol w:w="1624"/>
        <w:gridCol w:w="1624"/>
        <w:gridCol w:w="1624"/>
        <w:gridCol w:w="1624"/>
        <w:gridCol w:w="1624"/>
        <w:gridCol w:w="1624"/>
      </w:tblGrid>
      <w:tr>
        <w:tc>
          <w:tcPr>
            <w:tcW w:type="dxa" w:w="1624"/>
          </w:tcPr>
          <w:p>
            <w:r>
              <w:t>Rank</w:t>
            </w:r>
          </w:p>
        </w:tc>
        <w:tc>
          <w:tcPr>
            <w:tcW w:type="dxa" w:w="1624"/>
          </w:tcPr>
          <w:p>
            <w:r>
              <w:t>Shop Name</w:t>
            </w:r>
          </w:p>
        </w:tc>
        <w:tc>
          <w:tcPr>
            <w:tcW w:type="dxa" w:w="1624"/>
          </w:tcPr>
          <w:p>
            <w:r>
              <w:t>Batch</w:t>
            </w:r>
          </w:p>
        </w:tc>
        <w:tc>
          <w:tcPr>
            <w:tcW w:type="dxa" w:w="1624"/>
          </w:tcPr>
          <w:p>
            <w:r>
              <w:t>SOF</w:t>
            </w:r>
          </w:p>
        </w:tc>
        <w:tc>
          <w:tcPr>
            <w:tcW w:type="dxa" w:w="1624"/>
          </w:tcPr>
          <w:p>
            <w:r>
              <w:t>OKU</w:t>
            </w:r>
          </w:p>
        </w:tc>
        <w:tc>
          <w:tcPr>
            <w:tcW w:type="dxa" w:w="1624"/>
          </w:tcPr>
          <w:p>
            <w:r>
              <w:t>GMV (RM)</w:t>
            </w:r>
          </w:p>
        </w:tc>
      </w:tr>
      <w:tr>
        <w:tc>
          <w:tcPr>
            <w:tcW w:type="dxa" w:w="1624"/>
          </w:tcPr>
          <w:p>
            <w:r>
              <w:t>1</w:t>
            </w:r>
          </w:p>
        </w:tc>
        <w:tc>
          <w:tcPr>
            <w:tcW w:type="dxa" w:w="1624"/>
          </w:tcPr>
          <w:p>
            <w:r>
              <w:t>CHEF USTAZAH HQ</w:t>
            </w:r>
          </w:p>
        </w:tc>
        <w:tc>
          <w:tcPr>
            <w:tcW w:type="dxa" w:w="1624"/>
          </w:tcPr>
          <w:p>
            <w:r>
              <w:t>Batch 2</w:t>
            </w:r>
          </w:p>
        </w:tc>
        <w:tc>
          <w:tcPr>
            <w:tcW w:type="dxa" w:w="1624"/>
          </w:tcPr>
          <w:p>
            <w:r>
              <w:t>N</w:t>
            </w:r>
          </w:p>
        </w:tc>
        <w:tc>
          <w:tcPr>
            <w:tcW w:type="dxa" w:w="1624"/>
          </w:tcPr>
          <w:p>
            <w:r>
              <w:t>No</w:t>
            </w:r>
          </w:p>
        </w:tc>
        <w:tc>
          <w:tcPr>
            <w:tcW w:type="dxa" w:w="1624"/>
          </w:tcPr>
          <w:p>
            <w:r>
              <w:t>689,517.94</w:t>
            </w:r>
          </w:p>
        </w:tc>
      </w:tr>
      <w:tr>
        <w:tc>
          <w:tcPr>
            <w:tcW w:type="dxa" w:w="1624"/>
          </w:tcPr>
          <w:p>
            <w:r>
              <w:t>2</w:t>
            </w:r>
          </w:p>
        </w:tc>
        <w:tc>
          <w:tcPr>
            <w:tcW w:type="dxa" w:w="1624"/>
          </w:tcPr>
          <w:p>
            <w:r>
              <w:t>kerepek azharfood</w:t>
            </w:r>
          </w:p>
        </w:tc>
        <w:tc>
          <w:tcPr>
            <w:tcW w:type="dxa" w:w="1624"/>
          </w:tcPr>
          <w:p>
            <w:r>
              <w:t>Batch 1</w:t>
            </w:r>
          </w:p>
        </w:tc>
        <w:tc>
          <w:tcPr>
            <w:tcW w:type="dxa" w:w="1624"/>
          </w:tcPr>
          <w:p>
            <w:r>
              <w:t>N</w:t>
            </w:r>
          </w:p>
        </w:tc>
        <w:tc>
          <w:tcPr>
            <w:tcW w:type="dxa" w:w="1624"/>
          </w:tcPr>
          <w:p>
            <w:r>
              <w:t>No</w:t>
            </w:r>
          </w:p>
        </w:tc>
        <w:tc>
          <w:tcPr>
            <w:tcW w:type="dxa" w:w="1624"/>
          </w:tcPr>
          <w:p>
            <w:r>
              <w:t>533,945.85</w:t>
            </w:r>
          </w:p>
        </w:tc>
      </w:tr>
      <w:tr>
        <w:tc>
          <w:tcPr>
            <w:tcW w:type="dxa" w:w="1624"/>
          </w:tcPr>
          <w:p>
            <w:r>
              <w:t>3</w:t>
            </w:r>
          </w:p>
        </w:tc>
        <w:tc>
          <w:tcPr>
            <w:tcW w:type="dxa" w:w="1624"/>
          </w:tcPr>
          <w:p>
            <w:r>
              <w:t>Munif Cocoa@ Koko Spread Sedap</w:t>
            </w:r>
          </w:p>
        </w:tc>
        <w:tc>
          <w:tcPr>
            <w:tcW w:type="dxa" w:w="1624"/>
          </w:tcPr>
          <w:p>
            <w:r>
              <w:t>Batch 1</w:t>
            </w:r>
          </w:p>
        </w:tc>
        <w:tc>
          <w:tcPr>
            <w:tcW w:type="dxa" w:w="1624"/>
          </w:tcPr>
          <w:p>
            <w:r>
              <w:t>N</w:t>
            </w:r>
          </w:p>
        </w:tc>
        <w:tc>
          <w:tcPr>
            <w:tcW w:type="dxa" w:w="1624"/>
          </w:tcPr>
          <w:p>
            <w:r>
              <w:t>No</w:t>
            </w:r>
          </w:p>
        </w:tc>
        <w:tc>
          <w:tcPr>
            <w:tcW w:type="dxa" w:w="1624"/>
          </w:tcPr>
          <w:p>
            <w:r>
              <w:t>173,804.07</w:t>
            </w:r>
          </w:p>
        </w:tc>
      </w:tr>
      <w:tr>
        <w:tc>
          <w:tcPr>
            <w:tcW w:type="dxa" w:w="1624"/>
          </w:tcPr>
          <w:p>
            <w:r>
              <w:t>4</w:t>
            </w:r>
          </w:p>
        </w:tc>
        <w:tc>
          <w:tcPr>
            <w:tcW w:type="dxa" w:w="1624"/>
          </w:tcPr>
          <w:p>
            <w:r>
              <w:t>DASTO HQ</w:t>
            </w:r>
          </w:p>
        </w:tc>
        <w:tc>
          <w:tcPr>
            <w:tcW w:type="dxa" w:w="1624"/>
          </w:tcPr>
          <w:p>
            <w:r>
              <w:t>Batch 2</w:t>
            </w:r>
          </w:p>
        </w:tc>
        <w:tc>
          <w:tcPr>
            <w:tcW w:type="dxa" w:w="1624"/>
          </w:tcPr>
          <w:p>
            <w:r>
              <w:t>N</w:t>
            </w:r>
          </w:p>
        </w:tc>
        <w:tc>
          <w:tcPr>
            <w:tcW w:type="dxa" w:w="1624"/>
          </w:tcPr>
          <w:p>
            <w:r>
              <w:t>No</w:t>
            </w:r>
          </w:p>
        </w:tc>
        <w:tc>
          <w:tcPr>
            <w:tcW w:type="dxa" w:w="1624"/>
          </w:tcPr>
          <w:p>
            <w:r>
              <w:t>107,254.26</w:t>
            </w:r>
          </w:p>
        </w:tc>
      </w:tr>
      <w:tr>
        <w:tc>
          <w:tcPr>
            <w:tcW w:type="dxa" w:w="1624"/>
          </w:tcPr>
          <w:p>
            <w:r>
              <w:t>5</w:t>
            </w:r>
          </w:p>
        </w:tc>
        <w:tc>
          <w:tcPr>
            <w:tcW w:type="dxa" w:w="1624"/>
          </w:tcPr>
          <w:p>
            <w:r>
              <w:t>Dapur Pak Amir</w:t>
            </w:r>
          </w:p>
        </w:tc>
        <w:tc>
          <w:tcPr>
            <w:tcW w:type="dxa" w:w="1624"/>
          </w:tcPr>
          <w:p>
            <w:r>
              <w:t>Batch 1</w:t>
            </w:r>
          </w:p>
        </w:tc>
        <w:tc>
          <w:tcPr>
            <w:tcW w:type="dxa" w:w="1624"/>
          </w:tcPr>
          <w:p>
            <w:r>
              <w:t>N</w:t>
            </w:r>
          </w:p>
        </w:tc>
        <w:tc>
          <w:tcPr>
            <w:tcW w:type="dxa" w:w="1624"/>
          </w:tcPr>
          <w:p>
            <w:r>
              <w:t>Yes</w:t>
            </w:r>
          </w:p>
        </w:tc>
        <w:tc>
          <w:tcPr>
            <w:tcW w:type="dxa" w:w="1624"/>
          </w:tcPr>
          <w:p>
            <w:r>
              <w:t>39,562.30</w:t>
            </w:r>
          </w:p>
        </w:tc>
      </w:tr>
      <w:tr>
        <w:tc>
          <w:tcPr>
            <w:tcW w:type="dxa" w:w="1624"/>
          </w:tcPr>
          <w:p>
            <w:r>
              <w:t>6</w:t>
            </w:r>
          </w:p>
        </w:tc>
        <w:tc>
          <w:tcPr>
            <w:tcW w:type="dxa" w:w="1624"/>
          </w:tcPr>
          <w:p>
            <w:r>
              <w:t>Baja Taiping</w:t>
            </w:r>
          </w:p>
        </w:tc>
        <w:tc>
          <w:tcPr>
            <w:tcW w:type="dxa" w:w="1624"/>
          </w:tcPr>
          <w:p>
            <w:r>
              <w:t>Batch 2</w:t>
            </w:r>
          </w:p>
        </w:tc>
        <w:tc>
          <w:tcPr>
            <w:tcW w:type="dxa" w:w="1624"/>
          </w:tcPr>
          <w:p>
            <w:r>
              <w:t>N</w:t>
            </w:r>
          </w:p>
        </w:tc>
        <w:tc>
          <w:tcPr>
            <w:tcW w:type="dxa" w:w="1624"/>
          </w:tcPr>
          <w:p>
            <w:r>
              <w:t>No</w:t>
            </w:r>
          </w:p>
        </w:tc>
        <w:tc>
          <w:tcPr>
            <w:tcW w:type="dxa" w:w="1624"/>
          </w:tcPr>
          <w:p>
            <w:r>
              <w:t>37,368.97</w:t>
            </w:r>
          </w:p>
        </w:tc>
      </w:tr>
      <w:tr>
        <w:tc>
          <w:tcPr>
            <w:tcW w:type="dxa" w:w="1624"/>
          </w:tcPr>
          <w:p>
            <w:r>
              <w:t>7</w:t>
            </w:r>
          </w:p>
        </w:tc>
        <w:tc>
          <w:tcPr>
            <w:tcW w:type="dxa" w:w="1624"/>
          </w:tcPr>
          <w:p>
            <w:r>
              <w:t>Ayamhalalbismi</w:t>
            </w:r>
          </w:p>
        </w:tc>
        <w:tc>
          <w:tcPr>
            <w:tcW w:type="dxa" w:w="1624"/>
          </w:tcPr>
          <w:p>
            <w:r>
              <w:t>Batch 1</w:t>
            </w:r>
          </w:p>
        </w:tc>
        <w:tc>
          <w:tcPr>
            <w:tcW w:type="dxa" w:w="1624"/>
          </w:tcPr>
          <w:p>
            <w:r>
              <w:t>Y</w:t>
            </w:r>
          </w:p>
        </w:tc>
        <w:tc>
          <w:tcPr>
            <w:tcW w:type="dxa" w:w="1624"/>
          </w:tcPr>
          <w:p>
            <w:r>
              <w:t>No</w:t>
            </w:r>
          </w:p>
        </w:tc>
        <w:tc>
          <w:tcPr>
            <w:tcW w:type="dxa" w:w="1624"/>
          </w:tcPr>
          <w:p>
            <w:r>
              <w:t>20,120.58</w:t>
            </w:r>
          </w:p>
        </w:tc>
      </w:tr>
      <w:tr>
        <w:tc>
          <w:tcPr>
            <w:tcW w:type="dxa" w:w="1624"/>
          </w:tcPr>
          <w:p>
            <w:r>
              <w:t>8</w:t>
            </w:r>
          </w:p>
        </w:tc>
        <w:tc>
          <w:tcPr>
            <w:tcW w:type="dxa" w:w="1624"/>
          </w:tcPr>
          <w:p>
            <w:r>
              <w:t>RIZQ MART</w:t>
            </w:r>
          </w:p>
        </w:tc>
        <w:tc>
          <w:tcPr>
            <w:tcW w:type="dxa" w:w="1624"/>
          </w:tcPr>
          <w:p>
            <w:r>
              <w:t>Batch 1</w:t>
            </w:r>
          </w:p>
        </w:tc>
        <w:tc>
          <w:tcPr>
            <w:tcW w:type="dxa" w:w="1624"/>
          </w:tcPr>
          <w:p>
            <w:r>
              <w:t>Y</w:t>
            </w:r>
          </w:p>
        </w:tc>
        <w:tc>
          <w:tcPr>
            <w:tcW w:type="dxa" w:w="1624"/>
          </w:tcPr>
          <w:p>
            <w:r>
              <w:t>Yes</w:t>
            </w:r>
          </w:p>
        </w:tc>
        <w:tc>
          <w:tcPr>
            <w:tcW w:type="dxa" w:w="1624"/>
          </w:tcPr>
          <w:p>
            <w:r>
              <w:t>15,701.73</w:t>
            </w:r>
          </w:p>
        </w:tc>
      </w:tr>
      <w:tr>
        <w:tc>
          <w:tcPr>
            <w:tcW w:type="dxa" w:w="1624"/>
          </w:tcPr>
          <w:p>
            <w:r>
              <w:t>9</w:t>
            </w:r>
          </w:p>
        </w:tc>
        <w:tc>
          <w:tcPr>
            <w:tcW w:type="dxa" w:w="1624"/>
          </w:tcPr>
          <w:p>
            <w:r>
              <w:t>Corndog Anak Ramai HQ</w:t>
            </w:r>
          </w:p>
        </w:tc>
        <w:tc>
          <w:tcPr>
            <w:tcW w:type="dxa" w:w="1624"/>
          </w:tcPr>
          <w:p>
            <w:r>
              <w:t>Batch 2</w:t>
            </w:r>
          </w:p>
        </w:tc>
        <w:tc>
          <w:tcPr>
            <w:tcW w:type="dxa" w:w="1624"/>
          </w:tcPr>
          <w:p>
            <w:r>
              <w:t>Y</w:t>
            </w:r>
          </w:p>
        </w:tc>
        <w:tc>
          <w:tcPr>
            <w:tcW w:type="dxa" w:w="1624"/>
          </w:tcPr>
          <w:p>
            <w:r>
              <w:t>No</w:t>
            </w:r>
          </w:p>
        </w:tc>
        <w:tc>
          <w:tcPr>
            <w:tcW w:type="dxa" w:w="1624"/>
          </w:tcPr>
          <w:p>
            <w:r>
              <w:t>10,396.60</w:t>
            </w:r>
          </w:p>
        </w:tc>
      </w:tr>
      <w:tr>
        <w:tc>
          <w:tcPr>
            <w:tcW w:type="dxa" w:w="1624"/>
          </w:tcPr>
          <w:p>
            <w:r>
              <w:t>10</w:t>
            </w:r>
          </w:p>
        </w:tc>
        <w:tc>
          <w:tcPr>
            <w:tcW w:type="dxa" w:w="1624"/>
          </w:tcPr>
          <w:p>
            <w:r>
              <w:t>agromasmalaysia</w:t>
            </w:r>
          </w:p>
        </w:tc>
        <w:tc>
          <w:tcPr>
            <w:tcW w:type="dxa" w:w="1624"/>
          </w:tcPr>
          <w:p>
            <w:r>
              <w:t>Batch 1</w:t>
            </w:r>
          </w:p>
        </w:tc>
        <w:tc>
          <w:tcPr>
            <w:tcW w:type="dxa" w:w="1624"/>
          </w:tcPr>
          <w:p>
            <w:r>
              <w:t>N</w:t>
            </w:r>
          </w:p>
        </w:tc>
        <w:tc>
          <w:tcPr>
            <w:tcW w:type="dxa" w:w="1624"/>
          </w:tcPr>
          <w:p>
            <w:r>
              <w:t>No</w:t>
            </w:r>
          </w:p>
        </w:tc>
        <w:tc>
          <w:tcPr>
            <w:tcW w:type="dxa" w:w="1624"/>
          </w:tcPr>
          <w:p>
            <w:r>
              <w:t>9,817.92</w:t>
            </w:r>
          </w:p>
        </w:tc>
      </w:tr>
    </w:tbl>
    <w:p>
      <w:pPr>
        <w:spacing w:before="0" w:after="0" w:line="240" w:lineRule="auto"/>
      </w:pPr>
      <w:r>
        <w:rPr>
          <w:rFonts w:ascii="Calibri" w:hAnsi="Calibri"/>
          <w:sz w:val="22"/>
        </w:rPr>
        <w:t>The top seller cluster suggests that entrepreneurial performance is not evenly distributed. Instead, it is driven by sellers who can successfully activate product storytelling, live presentation, and conversion discipline.</w:t>
      </w:r>
    </w:p>
    <w:p>
      <w:pPr>
        <w:spacing w:before="0" w:after="0" w:line="240" w:lineRule="auto"/>
      </w:pPr>
      <w:r>
        <w:rPr>
          <w:rFonts w:ascii="Calibri" w:hAnsi="Calibri"/>
          <w:sz w:val="22"/>
        </w:rPr>
        <w:t>This concentration is useful for future programme design because it indicates where coaching, follow-up support, and performance diagnostics should be targeted.</w:t>
      </w:r>
    </w:p>
    <w:p>
      <w:r>
        <w:br w:type="page"/>
      </w:r>
    </w:p>
    <w:p>
      <w:pPr>
        <w:pStyle w:val="Heading1"/>
      </w:pPr>
      <w:r>
        <w:rPr>
          <w:rFonts w:ascii="Calibri" w:hAnsi="Calibri"/>
          <w:b/>
        </w:rPr>
        <w:t>A5. Correlation Analysis</w:t>
      </w:r>
    </w:p>
    <w:p>
      <w:pPr>
        <w:spacing w:before="0" w:after="0" w:line="240" w:lineRule="auto"/>
      </w:pPr>
      <w:r>
        <w:rPr>
          <w:rFonts w:ascii="Calibri" w:hAnsi="Calibri"/>
          <w:sz w:val="22"/>
        </w:rPr>
        <w:t>Table A5 presents Pearson correlations using monthly aggregate programme data. The strongest relationship was observed between short-video sales and total monthly sales, followed by livestream sales and order volume.</w:t>
      </w:r>
    </w:p>
    <w:tbl>
      <w:tblPr>
        <w:tblStyle w:val="TableGrid"/>
        <w:tblW w:type="auto" w:w="0"/>
        <w:jc w:val="center"/>
        <w:tblLook w:firstColumn="1" w:firstRow="1" w:lastColumn="0" w:lastRow="0" w:noHBand="0" w:noVBand="1" w:val="04A0"/>
      </w:tblPr>
      <w:tblGrid>
        <w:gridCol w:w="2436"/>
        <w:gridCol w:w="2436"/>
        <w:gridCol w:w="2436"/>
        <w:gridCol w:w="2436"/>
      </w:tblGrid>
      <w:tr>
        <w:tc>
          <w:tcPr>
            <w:tcW w:type="dxa" w:w="2436"/>
          </w:tcPr>
          <w:p>
            <w:r>
              <w:t>Indicator</w:t>
            </w:r>
          </w:p>
        </w:tc>
        <w:tc>
          <w:tcPr>
            <w:tcW w:type="dxa" w:w="2436"/>
          </w:tcPr>
          <w:p>
            <w:r>
              <w:t>Pearson r</w:t>
            </w:r>
          </w:p>
        </w:tc>
        <w:tc>
          <w:tcPr>
            <w:tcW w:type="dxa" w:w="2436"/>
          </w:tcPr>
          <w:p>
            <w:r>
              <w:t>p-value</w:t>
            </w:r>
          </w:p>
        </w:tc>
        <w:tc>
          <w:tcPr>
            <w:tcW w:type="dxa" w:w="2436"/>
          </w:tcPr>
          <w:p>
            <w:r>
              <w:t>Significance</w:t>
            </w:r>
          </w:p>
        </w:tc>
      </w:tr>
      <w:tr>
        <w:tc>
          <w:tcPr>
            <w:tcW w:type="dxa" w:w="2436"/>
          </w:tcPr>
          <w:p>
            <w:r>
              <w:t>Livestream sales (RM)</w:t>
            </w:r>
          </w:p>
        </w:tc>
        <w:tc>
          <w:tcPr>
            <w:tcW w:type="dxa" w:w="2436"/>
          </w:tcPr>
          <w:p>
            <w:r>
              <w:t>0.989</w:t>
            </w:r>
          </w:p>
        </w:tc>
        <w:tc>
          <w:tcPr>
            <w:tcW w:type="dxa" w:w="2436"/>
          </w:tcPr>
          <w:p>
            <w:r>
              <w:t>&lt;.0001</w:t>
            </w:r>
          </w:p>
        </w:tc>
        <w:tc>
          <w:tcPr>
            <w:tcW w:type="dxa" w:w="2436"/>
          </w:tcPr>
          <w:p>
            <w:r>
              <w:t>**</w:t>
            </w:r>
          </w:p>
        </w:tc>
      </w:tr>
      <w:tr>
        <w:tc>
          <w:tcPr>
            <w:tcW w:type="dxa" w:w="2436"/>
          </w:tcPr>
          <w:p>
            <w:r>
              <w:t>Short-video sales (RM)</w:t>
            </w:r>
          </w:p>
        </w:tc>
        <w:tc>
          <w:tcPr>
            <w:tcW w:type="dxa" w:w="2436"/>
          </w:tcPr>
          <w:p>
            <w:r>
              <w:t>0.997</w:t>
            </w:r>
          </w:p>
        </w:tc>
        <w:tc>
          <w:tcPr>
            <w:tcW w:type="dxa" w:w="2436"/>
          </w:tcPr>
          <w:p>
            <w:r>
              <w:t>&lt;.0001</w:t>
            </w:r>
          </w:p>
        </w:tc>
        <w:tc>
          <w:tcPr>
            <w:tcW w:type="dxa" w:w="2436"/>
          </w:tcPr>
          <w:p>
            <w:r>
              <w:t>**</w:t>
            </w:r>
          </w:p>
        </w:tc>
      </w:tr>
      <w:tr>
        <w:tc>
          <w:tcPr>
            <w:tcW w:type="dxa" w:w="2436"/>
          </w:tcPr>
          <w:p>
            <w:r>
              <w:t>Profile/window sales (RM)</w:t>
            </w:r>
          </w:p>
        </w:tc>
        <w:tc>
          <w:tcPr>
            <w:tcW w:type="dxa" w:w="2436"/>
          </w:tcPr>
          <w:p>
            <w:r>
              <w:t>0.971</w:t>
            </w:r>
          </w:p>
        </w:tc>
        <w:tc>
          <w:tcPr>
            <w:tcW w:type="dxa" w:w="2436"/>
          </w:tcPr>
          <w:p>
            <w:r>
              <w:t>0.0003</w:t>
            </w:r>
          </w:p>
        </w:tc>
        <w:tc>
          <w:tcPr>
            <w:tcW w:type="dxa" w:w="2436"/>
          </w:tcPr>
          <w:p>
            <w:r>
              <w:t>**</w:t>
            </w:r>
          </w:p>
        </w:tc>
      </w:tr>
      <w:tr>
        <w:tc>
          <w:tcPr>
            <w:tcW w:type="dxa" w:w="2436"/>
          </w:tcPr>
          <w:p>
            <w:r>
              <w:t>Other/shop-tab sales (RM)</w:t>
            </w:r>
          </w:p>
        </w:tc>
        <w:tc>
          <w:tcPr>
            <w:tcW w:type="dxa" w:w="2436"/>
          </w:tcPr>
          <w:p>
            <w:r>
              <w:t>0.972</w:t>
            </w:r>
          </w:p>
        </w:tc>
        <w:tc>
          <w:tcPr>
            <w:tcW w:type="dxa" w:w="2436"/>
          </w:tcPr>
          <w:p>
            <w:r>
              <w:t>0.0002</w:t>
            </w:r>
          </w:p>
        </w:tc>
        <w:tc>
          <w:tcPr>
            <w:tcW w:type="dxa" w:w="2436"/>
          </w:tcPr>
          <w:p>
            <w:r>
              <w:t>**</w:t>
            </w:r>
          </w:p>
        </w:tc>
      </w:tr>
      <w:tr>
        <w:tc>
          <w:tcPr>
            <w:tcW w:type="dxa" w:w="2436"/>
          </w:tcPr>
          <w:p>
            <w:r>
              <w:t>Live-stream content volume</w:t>
            </w:r>
          </w:p>
        </w:tc>
        <w:tc>
          <w:tcPr>
            <w:tcW w:type="dxa" w:w="2436"/>
          </w:tcPr>
          <w:p>
            <w:r>
              <w:t>0.720</w:t>
            </w:r>
          </w:p>
        </w:tc>
        <w:tc>
          <w:tcPr>
            <w:tcW w:type="dxa" w:w="2436"/>
          </w:tcPr>
          <w:p>
            <w:r>
              <w:t>0.0683</w:t>
            </w:r>
          </w:p>
        </w:tc>
        <w:tc>
          <w:tcPr>
            <w:tcW w:type="dxa" w:w="2436"/>
          </w:tcPr>
          <w:p>
            <w:r>
              <w:t>ns</w:t>
            </w:r>
          </w:p>
        </w:tc>
      </w:tr>
      <w:tr>
        <w:tc>
          <w:tcPr>
            <w:tcW w:type="dxa" w:w="2436"/>
          </w:tcPr>
          <w:p>
            <w:r>
              <w:t>Short-video content volume</w:t>
            </w:r>
          </w:p>
        </w:tc>
        <w:tc>
          <w:tcPr>
            <w:tcW w:type="dxa" w:w="2436"/>
          </w:tcPr>
          <w:p>
            <w:r>
              <w:t>0.414</w:t>
            </w:r>
          </w:p>
        </w:tc>
        <w:tc>
          <w:tcPr>
            <w:tcW w:type="dxa" w:w="2436"/>
          </w:tcPr>
          <w:p>
            <w:r>
              <w:t>0.3556</w:t>
            </w:r>
          </w:p>
        </w:tc>
        <w:tc>
          <w:tcPr>
            <w:tcW w:type="dxa" w:w="2436"/>
          </w:tcPr>
          <w:p>
            <w:r>
              <w:t>ns</w:t>
            </w:r>
          </w:p>
        </w:tc>
      </w:tr>
      <w:tr>
        <w:tc>
          <w:tcPr>
            <w:tcW w:type="dxa" w:w="2436"/>
          </w:tcPr>
          <w:p>
            <w:r>
              <w:t>Total content volume</w:t>
            </w:r>
          </w:p>
        </w:tc>
        <w:tc>
          <w:tcPr>
            <w:tcW w:type="dxa" w:w="2436"/>
          </w:tcPr>
          <w:p>
            <w:r>
              <w:t>0.538</w:t>
            </w:r>
          </w:p>
        </w:tc>
        <w:tc>
          <w:tcPr>
            <w:tcW w:type="dxa" w:w="2436"/>
          </w:tcPr>
          <w:p>
            <w:r>
              <w:t>0.2133</w:t>
            </w:r>
          </w:p>
        </w:tc>
        <w:tc>
          <w:tcPr>
            <w:tcW w:type="dxa" w:w="2436"/>
          </w:tcPr>
          <w:p>
            <w:r>
              <w:t>ns</w:t>
            </w:r>
          </w:p>
        </w:tc>
      </w:tr>
      <w:tr>
        <w:tc>
          <w:tcPr>
            <w:tcW w:type="dxa" w:w="2436"/>
          </w:tcPr>
          <w:p>
            <w:r>
              <w:t>Products sold</w:t>
            </w:r>
          </w:p>
        </w:tc>
        <w:tc>
          <w:tcPr>
            <w:tcW w:type="dxa" w:w="2436"/>
          </w:tcPr>
          <w:p>
            <w:r>
              <w:t>0.930</w:t>
            </w:r>
          </w:p>
        </w:tc>
        <w:tc>
          <w:tcPr>
            <w:tcW w:type="dxa" w:w="2436"/>
          </w:tcPr>
          <w:p>
            <w:r>
              <w:t>0.0024</w:t>
            </w:r>
          </w:p>
        </w:tc>
        <w:tc>
          <w:tcPr>
            <w:tcW w:type="dxa" w:w="2436"/>
          </w:tcPr>
          <w:p>
            <w:r>
              <w:t>**</w:t>
            </w:r>
          </w:p>
        </w:tc>
      </w:tr>
      <w:tr>
        <w:tc>
          <w:tcPr>
            <w:tcW w:type="dxa" w:w="2436"/>
          </w:tcPr>
          <w:p>
            <w:r>
              <w:t>Products for sale</w:t>
            </w:r>
          </w:p>
        </w:tc>
        <w:tc>
          <w:tcPr>
            <w:tcW w:type="dxa" w:w="2436"/>
          </w:tcPr>
          <w:p>
            <w:r>
              <w:t>-0.011</w:t>
            </w:r>
          </w:p>
        </w:tc>
        <w:tc>
          <w:tcPr>
            <w:tcW w:type="dxa" w:w="2436"/>
          </w:tcPr>
          <w:p>
            <w:r>
              <w:t>0.9807</w:t>
            </w:r>
          </w:p>
        </w:tc>
        <w:tc>
          <w:tcPr>
            <w:tcW w:type="dxa" w:w="2436"/>
          </w:tcPr>
          <w:p>
            <w:r>
              <w:t>ns</w:t>
            </w:r>
          </w:p>
        </w:tc>
      </w:tr>
      <w:tr>
        <w:tc>
          <w:tcPr>
            <w:tcW w:type="dxa" w:w="2436"/>
          </w:tcPr>
          <w:p>
            <w:r>
              <w:t>Orders</w:t>
            </w:r>
          </w:p>
        </w:tc>
        <w:tc>
          <w:tcPr>
            <w:tcW w:type="dxa" w:w="2436"/>
          </w:tcPr>
          <w:p>
            <w:r>
              <w:t>0.977</w:t>
            </w:r>
          </w:p>
        </w:tc>
        <w:tc>
          <w:tcPr>
            <w:tcW w:type="dxa" w:w="2436"/>
          </w:tcPr>
          <w:p>
            <w:r>
              <w:t>0.0002</w:t>
            </w:r>
          </w:p>
        </w:tc>
        <w:tc>
          <w:tcPr>
            <w:tcW w:type="dxa" w:w="2436"/>
          </w:tcPr>
          <w:p>
            <w:r>
              <w:t>**</w:t>
            </w:r>
          </w:p>
        </w:tc>
      </w:tr>
    </w:tbl>
    <w:p>
      <w:pPr>
        <w:spacing w:before="0" w:after="0" w:line="240" w:lineRule="auto"/>
      </w:pPr>
      <w:r>
        <w:rPr>
          <w:rFonts w:ascii="Calibri" w:hAnsi="Calibri"/>
          <w:sz w:val="22"/>
        </w:rPr>
        <w:t>These results support the paper’s argument that monetised activity matters more than raw content volume. In other words, content must be linked to conversion behavior in order to become strategically valuable.</w:t>
      </w:r>
    </w:p>
    <w:p>
      <w:pPr>
        <w:spacing w:before="0" w:after="0" w:line="240" w:lineRule="auto"/>
      </w:pPr>
      <w:r>
        <w:rPr>
          <w:rFonts w:ascii="Calibri" w:hAnsi="Calibri"/>
          <w:sz w:val="22"/>
        </w:rPr>
        <w:t>The pattern also reinforces the managerial importance of platform execution, order discipline, and product movement as practical indicators of programme performance.</w:t>
      </w:r>
    </w:p>
    <w:p>
      <w:r>
        <w:br w:type="page"/>
      </w:r>
    </w:p>
    <w:p>
      <w:pPr>
        <w:pStyle w:val="Heading1"/>
      </w:pPr>
      <w:r>
        <w:rPr>
          <w:rFonts w:ascii="Calibri" w:hAnsi="Calibri"/>
          <w:b/>
        </w:rPr>
        <w:t>A6. Summary of AMTTSE Performance Report</w:t>
      </w:r>
    </w:p>
    <w:p>
      <w:pPr>
        <w:spacing w:before="0" w:after="0" w:line="240" w:lineRule="auto"/>
      </w:pPr>
      <w:r>
        <w:rPr>
          <w:rFonts w:ascii="Calibri" w:hAnsi="Calibri"/>
          <w:sz w:val="22"/>
        </w:rPr>
        <w:t>Table A6 consolidates the key operational indicators from the source report. It provides a compact summary that is useful for readers who need a quick management view of the programme’s scope and return on investment.</w:t>
      </w:r>
    </w:p>
    <w:tbl>
      <w:tblPr>
        <w:tblStyle w:val="TableGrid"/>
        <w:tblW w:type="auto" w:w="0"/>
        <w:jc w:val="center"/>
        <w:tblLook w:firstColumn="1" w:firstRow="1" w:lastColumn="0" w:lastRow="0" w:noHBand="0" w:noVBand="1" w:val="04A0"/>
      </w:tblPr>
      <w:tblGrid>
        <w:gridCol w:w="3249"/>
        <w:gridCol w:w="3249"/>
        <w:gridCol w:w="3249"/>
      </w:tblGrid>
      <w:tr>
        <w:tc>
          <w:tcPr>
            <w:tcW w:type="dxa" w:w="3249"/>
          </w:tcPr>
          <w:p>
            <w:r>
              <w:t>No.</w:t>
            </w:r>
          </w:p>
        </w:tc>
        <w:tc>
          <w:tcPr>
            <w:tcW w:type="dxa" w:w="3249"/>
          </w:tcPr>
          <w:p>
            <w:r>
              <w:t>Item</w:t>
            </w:r>
          </w:p>
        </w:tc>
        <w:tc>
          <w:tcPr>
            <w:tcW w:type="dxa" w:w="3249"/>
          </w:tcPr>
          <w:p>
            <w:r>
              <w:t>Description / Value</w:t>
            </w:r>
          </w:p>
        </w:tc>
      </w:tr>
      <w:tr>
        <w:tc>
          <w:tcPr>
            <w:tcW w:type="dxa" w:w="3249"/>
          </w:tcPr>
          <w:p>
            <w:r>
              <w:t>1</w:t>
            </w:r>
          </w:p>
        </w:tc>
        <w:tc>
          <w:tcPr>
            <w:tcW w:type="dxa" w:w="3249"/>
          </w:tcPr>
          <w:p>
            <w:r>
              <w:t>Number of Companies</w:t>
            </w:r>
          </w:p>
        </w:tc>
        <w:tc>
          <w:tcPr>
            <w:tcW w:type="dxa" w:w="3249"/>
          </w:tcPr>
          <w:p>
            <w:r>
              <w:t>80</w:t>
            </w:r>
          </w:p>
        </w:tc>
      </w:tr>
      <w:tr>
        <w:tc>
          <w:tcPr>
            <w:tcW w:type="dxa" w:w="3249"/>
          </w:tcPr>
          <w:p>
            <w:r>
              <w:t>2</w:t>
            </w:r>
          </w:p>
        </w:tc>
        <w:tc>
          <w:tcPr>
            <w:tcW w:type="dxa" w:w="3249"/>
          </w:tcPr>
          <w:p>
            <w:r>
              <w:t>Number of Participants</w:t>
            </w:r>
          </w:p>
        </w:tc>
        <w:tc>
          <w:tcPr>
            <w:tcW w:type="dxa" w:w="3249"/>
          </w:tcPr>
          <w:p>
            <w:r>
              <w:t>160</w:t>
            </w:r>
          </w:p>
        </w:tc>
      </w:tr>
      <w:tr>
        <w:tc>
          <w:tcPr>
            <w:tcW w:type="dxa" w:w="3249"/>
          </w:tcPr>
          <w:p>
            <w:r>
              <w:t>3</w:t>
            </w:r>
          </w:p>
        </w:tc>
        <w:tc>
          <w:tcPr>
            <w:tcW w:type="dxa" w:w="3249"/>
          </w:tcPr>
          <w:p>
            <w:r>
              <w:t>Number of Training Courses Conducted</w:t>
            </w:r>
          </w:p>
        </w:tc>
        <w:tc>
          <w:tcPr>
            <w:tcW w:type="dxa" w:w="3249"/>
          </w:tcPr>
          <w:p>
            <w:r>
              <w:t>2</w:t>
            </w:r>
          </w:p>
        </w:tc>
      </w:tr>
      <w:tr>
        <w:tc>
          <w:tcPr>
            <w:tcW w:type="dxa" w:w="3249"/>
          </w:tcPr>
          <w:p>
            <w:r>
              <w:t>4</w:t>
            </w:r>
          </w:p>
        </w:tc>
        <w:tc>
          <w:tcPr>
            <w:tcW w:type="dxa" w:w="3249"/>
          </w:tcPr>
          <w:p>
            <w:r>
              <w:t>Companies in Fresh Product Category</w:t>
            </w:r>
          </w:p>
        </w:tc>
        <w:tc>
          <w:tcPr>
            <w:tcW w:type="dxa" w:w="3249"/>
          </w:tcPr>
          <w:p>
            <w:r>
              <w:t>11</w:t>
            </w:r>
          </w:p>
        </w:tc>
      </w:tr>
      <w:tr>
        <w:tc>
          <w:tcPr>
            <w:tcW w:type="dxa" w:w="3249"/>
          </w:tcPr>
          <w:p>
            <w:r>
              <w:t>5</w:t>
            </w:r>
          </w:p>
        </w:tc>
        <w:tc>
          <w:tcPr>
            <w:tcW w:type="dxa" w:w="3249"/>
          </w:tcPr>
          <w:p>
            <w:r>
              <w:t>Companies in Processed Product Category</w:t>
            </w:r>
          </w:p>
        </w:tc>
        <w:tc>
          <w:tcPr>
            <w:tcW w:type="dxa" w:w="3249"/>
          </w:tcPr>
          <w:p>
            <w:r>
              <w:t>69</w:t>
            </w:r>
          </w:p>
        </w:tc>
      </w:tr>
      <w:tr>
        <w:tc>
          <w:tcPr>
            <w:tcW w:type="dxa" w:w="3249"/>
          </w:tcPr>
          <w:p>
            <w:r>
              <w:t>6</w:t>
            </w:r>
          </w:p>
        </w:tc>
        <w:tc>
          <w:tcPr>
            <w:tcW w:type="dxa" w:w="3249"/>
          </w:tcPr>
          <w:p>
            <w:r>
              <w:t>Total Stock Keeping Units (SKUs) Marketed</w:t>
            </w:r>
          </w:p>
        </w:tc>
        <w:tc>
          <w:tcPr>
            <w:tcW w:type="dxa" w:w="3249"/>
          </w:tcPr>
          <w:p>
            <w:r>
              <w:t>425</w:t>
            </w:r>
          </w:p>
        </w:tc>
      </w:tr>
      <w:tr>
        <w:tc>
          <w:tcPr>
            <w:tcW w:type="dxa" w:w="3249"/>
          </w:tcPr>
          <w:p>
            <w:r>
              <w:t>7</w:t>
            </w:r>
          </w:p>
        </w:tc>
        <w:tc>
          <w:tcPr>
            <w:tcW w:type="dxa" w:w="3249"/>
          </w:tcPr>
          <w:p>
            <w:r>
              <w:t>Companies Owned by Persons with Disabilities (PWD)</w:t>
            </w:r>
          </w:p>
        </w:tc>
        <w:tc>
          <w:tcPr>
            <w:tcW w:type="dxa" w:w="3249"/>
          </w:tcPr>
          <w:p>
            <w:r>
              <w:t>13</w:t>
            </w:r>
          </w:p>
        </w:tc>
      </w:tr>
      <w:tr>
        <w:tc>
          <w:tcPr>
            <w:tcW w:type="dxa" w:w="3249"/>
          </w:tcPr>
          <w:p>
            <w:r>
              <w:t>8</w:t>
            </w:r>
          </w:p>
        </w:tc>
        <w:tc>
          <w:tcPr>
            <w:tcW w:type="dxa" w:w="3249"/>
          </w:tcPr>
          <w:p>
            <w:r>
              <w:t>Sales during 2-hour Live Session (June 2024)</w:t>
            </w:r>
          </w:p>
        </w:tc>
        <w:tc>
          <w:tcPr>
            <w:tcW w:type="dxa" w:w="3249"/>
          </w:tcPr>
          <w:p>
            <w:r>
              <w:t>RM12,657.15</w:t>
            </w:r>
          </w:p>
        </w:tc>
      </w:tr>
      <w:tr>
        <w:tc>
          <w:tcPr>
            <w:tcW w:type="dxa" w:w="3249"/>
          </w:tcPr>
          <w:p>
            <w:r>
              <w:t>9</w:t>
            </w:r>
          </w:p>
        </w:tc>
        <w:tc>
          <w:tcPr>
            <w:tcW w:type="dxa" w:w="3249"/>
          </w:tcPr>
          <w:p>
            <w:r>
              <w:t>Sales during 2-hour Live Session (July 2024)</w:t>
            </w:r>
          </w:p>
        </w:tc>
        <w:tc>
          <w:tcPr>
            <w:tcW w:type="dxa" w:w="3249"/>
          </w:tcPr>
          <w:p>
            <w:r>
              <w:t>RM4,274.31</w:t>
            </w:r>
          </w:p>
        </w:tc>
      </w:tr>
      <w:tr>
        <w:tc>
          <w:tcPr>
            <w:tcW w:type="dxa" w:w="3249"/>
          </w:tcPr>
          <w:p>
            <w:r>
              <w:t>10</w:t>
            </w:r>
          </w:p>
        </w:tc>
        <w:tc>
          <w:tcPr>
            <w:tcW w:type="dxa" w:w="3249"/>
          </w:tcPr>
          <w:p>
            <w:r>
              <w:t>Total Sales in December 2024</w:t>
            </w:r>
          </w:p>
        </w:tc>
        <w:tc>
          <w:tcPr>
            <w:tcW w:type="dxa" w:w="3249"/>
          </w:tcPr>
          <w:p>
            <w:r>
              <w:t>RM1,705,942.05</w:t>
            </w:r>
          </w:p>
        </w:tc>
      </w:tr>
      <w:tr>
        <w:tc>
          <w:tcPr>
            <w:tcW w:type="dxa" w:w="3249"/>
          </w:tcPr>
          <w:p>
            <w:r>
              <w:t>11</w:t>
            </w:r>
          </w:p>
        </w:tc>
        <w:tc>
          <w:tcPr>
            <w:tcW w:type="dxa" w:w="3249"/>
          </w:tcPr>
          <w:p>
            <w:r>
              <w:t>Total Cumulative Sales (June-December 2024)</w:t>
            </w:r>
          </w:p>
        </w:tc>
        <w:tc>
          <w:tcPr>
            <w:tcW w:type="dxa" w:w="3249"/>
          </w:tcPr>
          <w:p>
            <w:r>
              <w:t>RM6,205,957.06</w:t>
            </w:r>
          </w:p>
        </w:tc>
      </w:tr>
      <w:tr>
        <w:tc>
          <w:tcPr>
            <w:tcW w:type="dxa" w:w="3249"/>
          </w:tcPr>
          <w:p>
            <w:r>
              <w:t>12</w:t>
            </w:r>
          </w:p>
        </w:tc>
        <w:tc>
          <w:tcPr>
            <w:tcW w:type="dxa" w:w="3249"/>
          </w:tcPr>
          <w:p>
            <w:r>
              <w:t>Return on Investment (ROI)</w:t>
            </w:r>
          </w:p>
        </w:tc>
        <w:tc>
          <w:tcPr>
            <w:tcW w:type="dxa" w:w="3249"/>
          </w:tcPr>
          <w:p>
            <w:r>
              <w:t>1:31 - For every RM1.00 invested, participants gained RM31.00 in economic returns.</w:t>
            </w:r>
          </w:p>
        </w:tc>
      </w:tr>
    </w:tbl>
    <w:p>
      <w:pPr>
        <w:spacing w:before="0" w:after="0" w:line="240" w:lineRule="auto"/>
      </w:pPr>
      <w:r>
        <w:rPr>
          <w:rFonts w:ascii="Calibri" w:hAnsi="Calibri"/>
          <w:sz w:val="22"/>
        </w:rPr>
        <w:t>This summary is especially helpful for non-academic stakeholders because it translates the programme into a management dashboard: reach, product mix, output, and return.</w:t>
      </w:r>
    </w:p>
    <w:p>
      <w:pPr>
        <w:spacing w:before="0" w:after="0" w:line="240" w:lineRule="auto"/>
      </w:pPr>
      <w:r>
        <w:rPr>
          <w:rFonts w:ascii="Calibri" w:hAnsi="Calibri"/>
          <w:sz w:val="22"/>
        </w:rPr>
        <w:t>The ratio between investment and return is the clearest indicator that the programme performed as a scalable digital entrepreneurship intervention rather than a symbolic training exercise.</w:t>
      </w:r>
    </w:p>
    <w:p>
      <w:r>
        <w:br w:type="page"/>
      </w:r>
    </w:p>
    <w:p>
      <w:pPr>
        <w:pStyle w:val="Heading1"/>
      </w:pPr>
      <w:r>
        <w:rPr>
          <w:rFonts w:ascii="Calibri" w:hAnsi="Calibri"/>
          <w:b/>
        </w:rPr>
        <w:t>A7. Managerial Implications and Recommendations</w:t>
      </w:r>
    </w:p>
    <w:p>
      <w:pPr>
        <w:spacing w:before="0" w:after="0" w:line="240" w:lineRule="auto"/>
      </w:pPr>
      <w:r>
        <w:rPr>
          <w:rFonts w:ascii="Calibri" w:hAnsi="Calibri"/>
          <w:sz w:val="22"/>
        </w:rPr>
        <w:t>The extended evidence suggests three practical implications. First, future cohorts should prioritise short-video capability and livestream discipline because these are the strongest revenue-linked channels. Second, programme administrators should identify low- and zero-GMV sellers early and provide targeted coaching. Third, the intervention should continue to connect content generation with operational conversion metrics such as orders and products sold.</w:t>
      </w:r>
    </w:p>
    <w:p>
      <w:pPr>
        <w:spacing w:before="0" w:after="0" w:line="240" w:lineRule="auto"/>
      </w:pPr>
      <w:r>
        <w:rPr>
          <w:rFonts w:ascii="Calibri" w:hAnsi="Calibri"/>
          <w:sz w:val="22"/>
        </w:rPr>
        <w:t>For policy makers, the report indicates that digital entrepreneurship programmes need deeper performance tracking. It is not enough to count participants. The programme should also track seller activation, channel contribution, and monthly conversion data to capture whether the intervention is actually transforming entrepreneurial behavior.</w:t>
      </w:r>
    </w:p>
    <w:p>
      <w:pPr>
        <w:spacing w:before="0" w:after="0" w:line="240" w:lineRule="auto"/>
      </w:pPr>
      <w:r>
        <w:rPr>
          <w:rFonts w:ascii="Calibri" w:hAnsi="Calibri"/>
          <w:sz w:val="22"/>
        </w:rPr>
        <w:t>For researchers, the data illustrate a useful distinction between content output and monetised output. That distinction can be extended into future studies on digital capability, platform strategy, and social commerce effectiveness.</w:t>
      </w:r>
    </w:p>
    <w:sectPr w:rsidR="00CA2297" w:rsidRPr="000F794A" w:rsidSect="002F406A">
      <w:headerReference w:type="even" r:id="rId26"/>
      <w:headerReference w:type="default" r:id="rId27"/>
      <w:footerReference w:type="even" r:id="rId28"/>
      <w:footerReference w:type="default" r:id="rId29"/>
      <w:headerReference w:type="first" r:id="rId30"/>
      <w:footerReference w:type="first" r:id="rId31"/>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52E14" w14:textId="77777777" w:rsidR="009D7CDB" w:rsidRDefault="009D7CDB" w:rsidP="00307DBE">
      <w:pPr>
        <w:spacing w:after="0" w:line="240" w:lineRule="auto"/>
      </w:pPr>
      <w:r>
        <w:separator/>
      </w:r>
    </w:p>
  </w:endnote>
  <w:endnote w:type="continuationSeparator" w:id="0">
    <w:p w14:paraId="2E13C865" w14:textId="77777777" w:rsidR="009D7CDB" w:rsidRDefault="009D7CDB"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swiss"/>
    <w:pitch w:val="default"/>
    <w:sig w:usb0="00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pitch w:val="default"/>
    <w:sig w:usb0="00000000" w:usb1="00000000" w:usb2="00000000" w:usb3="00000000" w:csb0="00000001" w:csb1="00000000"/>
  </w:font>
  <w:font w:name="AEJPON+BookmanOldStyle">
    <w:altName w:val="Cambria"/>
    <w:panose1 w:val="020B0604020202020204"/>
    <w:charset w:val="00"/>
    <w:family w:val="roman"/>
    <w:pitch w:val="default"/>
    <w:sig w:usb0="00000000" w:usb1="00000000" w:usb2="00000000" w:usb3="00000000" w:csb0="00000001" w:csb1="00000000"/>
  </w:font>
  <w:font w:name="Times">
    <w:altName w:val="Sylfaen"/>
    <w:panose1 w:val="020B0604020202020204"/>
    <w:charset w:val="00"/>
    <w:family w:val="roman"/>
    <w:pitch w:val="variable"/>
    <w:sig w:usb0="E0002EFF" w:usb1="C000785B" w:usb2="00000009" w:usb3="00000000" w:csb0="000001FF" w:csb1="00000000"/>
  </w:font>
  <w:font w:name="Sabon">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9B6BA" w14:textId="77777777" w:rsidR="00E57975" w:rsidRDefault="00E579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146464">
          <w:rPr>
            <w:noProof/>
          </w:rPr>
          <w:t>2</w:t>
        </w:r>
        <w:r w:rsidR="00146464">
          <w:rPr>
            <w:noProof/>
          </w:rPr>
          <w:t>5</w:t>
        </w:r>
        <w:r>
          <w:rPr>
            <w:noProof/>
          </w:rPr>
          <w:fldChar w:fldCharType="end"/>
        </w:r>
      </w:p>
    </w:sdtContent>
  </w:sdt>
  <w:p w14:paraId="1B205F8D" w14:textId="77777777" w:rsidR="007F6D7A" w:rsidRDefault="007F6D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146464">
          <w:rPr>
            <w:noProof/>
          </w:rPr>
          <w:t>1</w:t>
        </w:r>
        <w:r w:rsidR="00146464">
          <w:rPr>
            <w:noProof/>
          </w:rPr>
          <w:t>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3C2E4" w14:textId="77777777" w:rsidR="009D7CDB" w:rsidRDefault="009D7CDB" w:rsidP="00307DBE">
      <w:pPr>
        <w:spacing w:after="0" w:line="240" w:lineRule="auto"/>
      </w:pPr>
      <w:r>
        <w:separator/>
      </w:r>
    </w:p>
  </w:footnote>
  <w:footnote w:type="continuationSeparator" w:id="0">
    <w:p w14:paraId="56E51FE2" w14:textId="77777777" w:rsidR="009D7CDB" w:rsidRDefault="009D7CDB" w:rsidP="00307DBE">
      <w:pPr>
        <w:spacing w:after="0" w:line="240" w:lineRule="auto"/>
      </w:pPr>
      <w:r>
        <w:continuationSeparator/>
      </w:r>
    </w:p>
  </w:footnote>
  <w:footnote w:id="1">
    <w:p w14:paraId="3CC2B566" w14:textId="77777777" w:rsidR="00671F43" w:rsidRPr="00CA466E" w:rsidRDefault="00671F43" w:rsidP="00671F43">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14B5D882" w14:textId="7BAF91C6" w:rsidR="00671F43" w:rsidRDefault="00671F43" w:rsidP="00671F43">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r w:rsidRPr="000F794A">
        <w:rPr>
          <w:rFonts w:asciiTheme="minorHAnsi" w:hAnsiTheme="minorHAnsi"/>
          <w:i/>
          <w:iCs/>
        </w:rPr>
        <w:t xml:space="preserve"> </w:t>
      </w:r>
    </w:p>
    <w:p w14:paraId="1F3FAD86" w14:textId="77777777" w:rsidR="00671F43" w:rsidRDefault="00671F43" w:rsidP="00671F43">
      <w:pPr>
        <w:pStyle w:val="FootnoteText"/>
        <w:rPr>
          <w:rFonts w:asciiTheme="minorHAnsi" w:hAnsiTheme="minorHAnsi"/>
        </w:rPr>
      </w:pPr>
    </w:p>
    <w:p w14:paraId="68F0AD4B" w14:textId="68EF5B2D" w:rsidR="00671F43" w:rsidRPr="003473D7" w:rsidRDefault="00671F43" w:rsidP="00671F43">
      <w:pPr>
        <w:pStyle w:val="FootnoteText"/>
        <w:rPr>
          <w:rFonts w:cs="Times New Roman"/>
          <w:lang w:val="en-SG"/>
        </w:rPr>
      </w:pPr>
      <w:r w:rsidRPr="003473D7">
        <w:rPr>
          <w:rFonts w:cs="Times New Roman"/>
          <w:highlight w:val="yellow"/>
          <w:lang w:val="en-SG"/>
        </w:rPr>
        <w:t>https://doi.org/10.37934/</w:t>
      </w:r>
      <w:r w:rsidR="00E57975" w:rsidRPr="003473D7">
        <w:rPr>
          <w:rFonts w:cs="Times New Roman"/>
          <w:highlight w:val="yellow"/>
          <w:lang w:val="en-SG"/>
        </w:rPr>
        <w:t>arbms</w:t>
      </w:r>
      <w:r w:rsidRPr="003473D7">
        <w:rPr>
          <w:rFonts w:cs="Times New Roman"/>
          <w:highlight w:val="yellow"/>
          <w:lang w:val="en-SG"/>
        </w:rPr>
        <w:t>.17.4.XX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3B67F" w14:textId="77777777" w:rsidR="00E57975" w:rsidRDefault="00E579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84A7E" w14:textId="4671E11C" w:rsidR="009069A1" w:rsidRPr="00380ADE" w:rsidRDefault="001B6CEC" w:rsidP="009069A1">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r>
      <w:rPr>
        <w:rFonts w:ascii="Times New Roman" w:eastAsia="Calibri" w:hAnsi="Times New Roman" w:cs="Arial"/>
        <w:i/>
        <w:iCs/>
        <w:sz w:val="16"/>
        <w:szCs w:val="14"/>
        <w:lang w:val="en-GB"/>
      </w:rPr>
      <w:t xml:space="preserve">Journal of </w:t>
    </w:r>
    <w:r w:rsidR="004555F9">
      <w:rPr>
        <w:rFonts w:ascii="Times New Roman" w:eastAsia="Calibri" w:hAnsi="Times New Roman" w:cs="Arial"/>
        <w:i/>
        <w:iCs/>
        <w:sz w:val="16"/>
        <w:szCs w:val="14"/>
        <w:lang w:val="en-GB"/>
      </w:rPr>
      <w:t>A</w:t>
    </w:r>
    <w:r w:rsidR="00CA24FB">
      <w:rPr>
        <w:rFonts w:ascii="Times New Roman" w:eastAsia="Calibri" w:hAnsi="Times New Roman" w:cs="Arial"/>
        <w:i/>
        <w:iCs/>
        <w:sz w:val="16"/>
        <w:szCs w:val="14"/>
        <w:lang w:val="en-GB"/>
      </w:rPr>
      <w:t>dvanced Research in</w:t>
    </w:r>
    <w:r w:rsidR="001738A6">
      <w:rPr>
        <w:rFonts w:ascii="Times New Roman" w:eastAsia="Calibri" w:hAnsi="Times New Roman" w:cs="Arial"/>
        <w:i/>
        <w:iCs/>
        <w:sz w:val="16"/>
        <w:szCs w:val="14"/>
        <w:lang w:val="en-GB"/>
      </w:rPr>
      <w:t xml:space="preserve"> </w:t>
    </w:r>
    <w:r w:rsidR="00E57975">
      <w:rPr>
        <w:rFonts w:ascii="Times New Roman" w:eastAsia="Calibri" w:hAnsi="Times New Roman" w:cs="Arial"/>
        <w:i/>
        <w:iCs/>
        <w:sz w:val="16"/>
        <w:szCs w:val="14"/>
        <w:lang w:val="en-GB"/>
      </w:rPr>
      <w:t>Business</w:t>
    </w:r>
    <w:r w:rsidR="001738A6">
      <w:rPr>
        <w:rFonts w:ascii="Times New Roman" w:eastAsia="Calibri" w:hAnsi="Times New Roman" w:cs="Arial"/>
        <w:i/>
        <w:iCs/>
        <w:sz w:val="16"/>
        <w:szCs w:val="14"/>
        <w:lang w:val="en-GB"/>
      </w:rPr>
      <w:t xml:space="preserve"> and </w:t>
    </w:r>
    <w:r w:rsidR="00CA24FB">
      <w:rPr>
        <w:rFonts w:ascii="Times New Roman" w:eastAsia="Calibri" w:hAnsi="Times New Roman" w:cs="Arial"/>
        <w:i/>
        <w:iCs/>
        <w:sz w:val="16"/>
        <w:szCs w:val="14"/>
        <w:lang w:val="en-GB"/>
      </w:rPr>
      <w:t>Management</w:t>
    </w:r>
    <w:r w:rsidR="00E57975">
      <w:rPr>
        <w:rFonts w:ascii="Times New Roman" w:eastAsia="Calibri" w:hAnsi="Times New Roman" w:cs="Arial"/>
        <w:i/>
        <w:iCs/>
        <w:sz w:val="16"/>
        <w:szCs w:val="14"/>
        <w:lang w:val="en-GB"/>
      </w:rPr>
      <w:t xml:space="preserve"> Studies</w:t>
    </w:r>
  </w:p>
  <w:p w14:paraId="706EA5A1" w14:textId="1C50761B" w:rsidR="009069A1" w:rsidRPr="004E2831" w:rsidRDefault="009069A1" w:rsidP="009069A1">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46336A">
      <w:rPr>
        <w:rFonts w:ascii="Times New Roman" w:eastAsia="Calibri" w:hAnsi="Times New Roman" w:cs="Arial"/>
        <w:sz w:val="16"/>
        <w:szCs w:val="14"/>
        <w:lang w:val="en-GB"/>
      </w:rPr>
      <w:t>X</w:t>
    </w:r>
    <w:r>
      <w:rPr>
        <w:rFonts w:ascii="Times New Roman" w:eastAsia="Calibri" w:hAnsi="Times New Roman" w:cs="Arial"/>
        <w:sz w:val="16"/>
        <w:szCs w:val="14"/>
        <w:lang w:val="en-GB"/>
      </w:rPr>
      <w:t xml:space="preserve"> (202</w:t>
    </w:r>
    <w:r w:rsidR="00CA24FB">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p w14:paraId="1951AE2D" w14:textId="4CDD4476" w:rsidR="007F6D7A" w:rsidRPr="009069A1" w:rsidRDefault="007F6D7A" w:rsidP="009069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71CF6C9" w14:textId="524C10CC" w:rsidR="00FB3274" w:rsidRPr="003F5EA9" w:rsidRDefault="001B6CEC" w:rsidP="00FB3274">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r>
      <w:rPr>
        <w:rFonts w:ascii="Times New Roman" w:eastAsia="Calibri" w:hAnsi="Times New Roman" w:cs="Arial"/>
        <w:i/>
        <w:iCs/>
        <w:sz w:val="16"/>
        <w:szCs w:val="14"/>
        <w:lang w:val="en-GB"/>
      </w:rPr>
      <w:t xml:space="preserve">Journal </w:t>
    </w:r>
    <w:r w:rsidR="00EC11E5">
      <w:rPr>
        <w:rFonts w:ascii="Times New Roman" w:eastAsia="Calibri" w:hAnsi="Times New Roman" w:cs="Arial"/>
        <w:i/>
        <w:iCs/>
        <w:sz w:val="16"/>
        <w:szCs w:val="14"/>
        <w:lang w:val="en-GB"/>
      </w:rPr>
      <w:t>o</w:t>
    </w:r>
    <w:r w:rsidR="00534564">
      <w:rPr>
        <w:rFonts w:ascii="Times New Roman" w:eastAsia="Calibri" w:hAnsi="Times New Roman" w:cs="Arial"/>
        <w:i/>
        <w:iCs/>
        <w:sz w:val="16"/>
        <w:szCs w:val="14"/>
        <w:lang w:val="en-GB"/>
      </w:rPr>
      <w:t xml:space="preserve">f </w:t>
    </w:r>
    <w:r w:rsidR="004555F9">
      <w:rPr>
        <w:rFonts w:ascii="Times New Roman" w:eastAsia="Calibri" w:hAnsi="Times New Roman" w:cs="Arial"/>
        <w:i/>
        <w:iCs/>
        <w:sz w:val="16"/>
        <w:szCs w:val="14"/>
        <w:lang w:val="en-GB"/>
      </w:rPr>
      <w:t>A</w:t>
    </w:r>
    <w:r w:rsidR="00067BCB">
      <w:rPr>
        <w:rFonts w:ascii="Times New Roman" w:eastAsia="Calibri" w:hAnsi="Times New Roman" w:cs="Arial"/>
        <w:i/>
        <w:iCs/>
        <w:sz w:val="16"/>
        <w:szCs w:val="14"/>
        <w:lang w:val="en-GB"/>
      </w:rPr>
      <w:t>dvanced R</w:t>
    </w:r>
    <w:r w:rsidR="001738A6">
      <w:rPr>
        <w:rFonts w:ascii="Times New Roman" w:eastAsia="Calibri" w:hAnsi="Times New Roman" w:cs="Arial"/>
        <w:i/>
        <w:iCs/>
        <w:sz w:val="16"/>
        <w:szCs w:val="14"/>
        <w:lang w:val="en-GB"/>
      </w:rPr>
      <w:t xml:space="preserve">esearch in </w:t>
    </w:r>
    <w:r w:rsidR="00E57975">
      <w:rPr>
        <w:rFonts w:ascii="Times New Roman" w:eastAsia="Calibri" w:hAnsi="Times New Roman" w:cs="Arial"/>
        <w:i/>
        <w:iCs/>
        <w:sz w:val="16"/>
        <w:szCs w:val="14"/>
        <w:lang w:val="en-GB"/>
      </w:rPr>
      <w:t>Business and Management Studies</w:t>
    </w:r>
    <w:r w:rsidR="0079028E">
      <w:rPr>
        <w:rFonts w:ascii="Times New Roman" w:eastAsia="Calibri" w:hAnsi="Times New Roman" w:cs="Arial"/>
        <w:i/>
        <w:iCs/>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 xml:space="preserve">, Issue </w:t>
    </w:r>
    <w:r w:rsidR="00FB3274">
      <w:rPr>
        <w:rFonts w:ascii="Times New Roman" w:eastAsia="Calibri" w:hAnsi="Times New Roman" w:cs="Arial"/>
        <w:color w:val="000000" w:themeColor="text1"/>
        <w:sz w:val="16"/>
        <w:szCs w:val="14"/>
        <w:lang w:val="en-GB"/>
      </w:rPr>
      <w:t>X</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sidR="00067BCB">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0"/>
    <w:bookmarkEnd w:id="1"/>
    <w:r w:rsidR="00FB3274">
      <w:rPr>
        <w:rFonts w:ascii="Times New Roman" w:eastAsia="Calibri" w:hAnsi="Times New Roman" w:cs="Arial"/>
        <w:color w:val="000000" w:themeColor="text1"/>
        <w:sz w:val="16"/>
        <w:szCs w:val="14"/>
        <w:lang w:val="en-GB"/>
      </w:rPr>
      <w:t>XX</w:t>
    </w:r>
  </w:p>
  <w:p w14:paraId="124CBCCF" w14:textId="15610E5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0623915">
    <w:abstractNumId w:val="9"/>
  </w:num>
  <w:num w:numId="2" w16cid:durableId="276520792">
    <w:abstractNumId w:val="2"/>
  </w:num>
  <w:num w:numId="3" w16cid:durableId="1428382106">
    <w:abstractNumId w:val="4"/>
  </w:num>
  <w:num w:numId="4" w16cid:durableId="665792637">
    <w:abstractNumId w:val="14"/>
  </w:num>
  <w:num w:numId="5" w16cid:durableId="89468805">
    <w:abstractNumId w:val="6"/>
  </w:num>
  <w:num w:numId="6" w16cid:durableId="1749418470">
    <w:abstractNumId w:val="10"/>
  </w:num>
  <w:num w:numId="7" w16cid:durableId="2124885530">
    <w:abstractNumId w:val="15"/>
  </w:num>
  <w:num w:numId="8" w16cid:durableId="435255066">
    <w:abstractNumId w:val="1"/>
  </w:num>
  <w:num w:numId="9" w16cid:durableId="460346734">
    <w:abstractNumId w:val="17"/>
  </w:num>
  <w:num w:numId="10" w16cid:durableId="1183319437">
    <w:abstractNumId w:val="11"/>
  </w:num>
  <w:num w:numId="11" w16cid:durableId="2090303070">
    <w:abstractNumId w:val="18"/>
  </w:num>
  <w:num w:numId="12" w16cid:durableId="1417551756">
    <w:abstractNumId w:val="16"/>
  </w:num>
  <w:num w:numId="13" w16cid:durableId="525824926">
    <w:abstractNumId w:val="23"/>
  </w:num>
  <w:num w:numId="14" w16cid:durableId="1750732092">
    <w:abstractNumId w:val="24"/>
  </w:num>
  <w:num w:numId="15" w16cid:durableId="1874029373">
    <w:abstractNumId w:val="13"/>
  </w:num>
  <w:num w:numId="16" w16cid:durableId="1339574166">
    <w:abstractNumId w:val="22"/>
  </w:num>
  <w:num w:numId="17" w16cid:durableId="1939825279">
    <w:abstractNumId w:val="7"/>
  </w:num>
  <w:num w:numId="18" w16cid:durableId="1334341030">
    <w:abstractNumId w:val="5"/>
  </w:num>
  <w:num w:numId="19" w16cid:durableId="964655733">
    <w:abstractNumId w:val="19"/>
  </w:num>
  <w:num w:numId="20" w16cid:durableId="1737625846">
    <w:abstractNumId w:val="8"/>
  </w:num>
  <w:num w:numId="21" w16cid:durableId="851332879">
    <w:abstractNumId w:val="3"/>
  </w:num>
  <w:num w:numId="22" w16cid:durableId="2142308455">
    <w:abstractNumId w:val="20"/>
  </w:num>
  <w:num w:numId="23" w16cid:durableId="1024332636">
    <w:abstractNumId w:val="21"/>
  </w:num>
  <w:num w:numId="24" w16cid:durableId="1127041613">
    <w:abstractNumId w:val="12"/>
  </w:num>
  <w:num w:numId="25" w16cid:durableId="1062870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67BCB"/>
    <w:rsid w:val="00074F2E"/>
    <w:rsid w:val="00086424"/>
    <w:rsid w:val="0009227B"/>
    <w:rsid w:val="000927D2"/>
    <w:rsid w:val="00096A9F"/>
    <w:rsid w:val="00097BA2"/>
    <w:rsid w:val="000A099F"/>
    <w:rsid w:val="000A215F"/>
    <w:rsid w:val="000B03ED"/>
    <w:rsid w:val="000B1EE9"/>
    <w:rsid w:val="000B75A3"/>
    <w:rsid w:val="000C1D85"/>
    <w:rsid w:val="000C1EA0"/>
    <w:rsid w:val="000C3BCB"/>
    <w:rsid w:val="000C4CCF"/>
    <w:rsid w:val="000C6524"/>
    <w:rsid w:val="000D1E88"/>
    <w:rsid w:val="000D5701"/>
    <w:rsid w:val="000E1FDE"/>
    <w:rsid w:val="000E23CC"/>
    <w:rsid w:val="000E31DD"/>
    <w:rsid w:val="000F794A"/>
    <w:rsid w:val="001046FD"/>
    <w:rsid w:val="00107541"/>
    <w:rsid w:val="00111E9F"/>
    <w:rsid w:val="00112AB5"/>
    <w:rsid w:val="001134B9"/>
    <w:rsid w:val="001137F4"/>
    <w:rsid w:val="001156E2"/>
    <w:rsid w:val="00115707"/>
    <w:rsid w:val="00115CCC"/>
    <w:rsid w:val="00121907"/>
    <w:rsid w:val="00123703"/>
    <w:rsid w:val="00123C57"/>
    <w:rsid w:val="00124FC4"/>
    <w:rsid w:val="001256DD"/>
    <w:rsid w:val="001310D8"/>
    <w:rsid w:val="0013135C"/>
    <w:rsid w:val="00131AE2"/>
    <w:rsid w:val="00134261"/>
    <w:rsid w:val="0013640D"/>
    <w:rsid w:val="00143E75"/>
    <w:rsid w:val="00145377"/>
    <w:rsid w:val="00146464"/>
    <w:rsid w:val="001467A3"/>
    <w:rsid w:val="00147E81"/>
    <w:rsid w:val="00165B96"/>
    <w:rsid w:val="00172D82"/>
    <w:rsid w:val="001738A6"/>
    <w:rsid w:val="00173DB9"/>
    <w:rsid w:val="00173EB0"/>
    <w:rsid w:val="0017731B"/>
    <w:rsid w:val="00177323"/>
    <w:rsid w:val="0018526F"/>
    <w:rsid w:val="001A3631"/>
    <w:rsid w:val="001A5AC6"/>
    <w:rsid w:val="001A75ED"/>
    <w:rsid w:val="001B08D3"/>
    <w:rsid w:val="001B20BF"/>
    <w:rsid w:val="001B2DAB"/>
    <w:rsid w:val="001B340C"/>
    <w:rsid w:val="001B46D5"/>
    <w:rsid w:val="001B640A"/>
    <w:rsid w:val="001B6903"/>
    <w:rsid w:val="001B6CEC"/>
    <w:rsid w:val="001C18D2"/>
    <w:rsid w:val="001C3ACA"/>
    <w:rsid w:val="001D31B5"/>
    <w:rsid w:val="001D65A1"/>
    <w:rsid w:val="001E0032"/>
    <w:rsid w:val="001E1A7F"/>
    <w:rsid w:val="001E31AE"/>
    <w:rsid w:val="001F2311"/>
    <w:rsid w:val="001F2E65"/>
    <w:rsid w:val="001F32C9"/>
    <w:rsid w:val="001F4523"/>
    <w:rsid w:val="001F5381"/>
    <w:rsid w:val="001F693F"/>
    <w:rsid w:val="0020061B"/>
    <w:rsid w:val="002077D6"/>
    <w:rsid w:val="00210659"/>
    <w:rsid w:val="00210DE4"/>
    <w:rsid w:val="00212C72"/>
    <w:rsid w:val="00213165"/>
    <w:rsid w:val="00214388"/>
    <w:rsid w:val="0021535C"/>
    <w:rsid w:val="00216DD8"/>
    <w:rsid w:val="00217304"/>
    <w:rsid w:val="002312A2"/>
    <w:rsid w:val="0023132F"/>
    <w:rsid w:val="00235202"/>
    <w:rsid w:val="00236A8B"/>
    <w:rsid w:val="00244B11"/>
    <w:rsid w:val="0024597D"/>
    <w:rsid w:val="00251E26"/>
    <w:rsid w:val="0025638A"/>
    <w:rsid w:val="00260511"/>
    <w:rsid w:val="002672E2"/>
    <w:rsid w:val="00277CDD"/>
    <w:rsid w:val="002808C5"/>
    <w:rsid w:val="002833F4"/>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6B71"/>
    <w:rsid w:val="002D7CFD"/>
    <w:rsid w:val="002E2732"/>
    <w:rsid w:val="002E607D"/>
    <w:rsid w:val="002F27C5"/>
    <w:rsid w:val="002F406A"/>
    <w:rsid w:val="002F4A3A"/>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6820"/>
    <w:rsid w:val="00337A13"/>
    <w:rsid w:val="00337C7F"/>
    <w:rsid w:val="00344E38"/>
    <w:rsid w:val="003473D7"/>
    <w:rsid w:val="00351F89"/>
    <w:rsid w:val="00353D57"/>
    <w:rsid w:val="00354E40"/>
    <w:rsid w:val="00354EB6"/>
    <w:rsid w:val="00355F5B"/>
    <w:rsid w:val="003570CC"/>
    <w:rsid w:val="00357C66"/>
    <w:rsid w:val="0036253B"/>
    <w:rsid w:val="00363E1E"/>
    <w:rsid w:val="00365031"/>
    <w:rsid w:val="00374DB7"/>
    <w:rsid w:val="00380ADE"/>
    <w:rsid w:val="00380BD5"/>
    <w:rsid w:val="00380EF5"/>
    <w:rsid w:val="00383A7A"/>
    <w:rsid w:val="00385C3A"/>
    <w:rsid w:val="00386C79"/>
    <w:rsid w:val="003903A5"/>
    <w:rsid w:val="003A055C"/>
    <w:rsid w:val="003A6492"/>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7C6E"/>
    <w:rsid w:val="003E7D8E"/>
    <w:rsid w:val="003F5EA9"/>
    <w:rsid w:val="003F7B77"/>
    <w:rsid w:val="004006AB"/>
    <w:rsid w:val="00400A8F"/>
    <w:rsid w:val="0041415B"/>
    <w:rsid w:val="00414643"/>
    <w:rsid w:val="00415DD3"/>
    <w:rsid w:val="00420736"/>
    <w:rsid w:val="004216B5"/>
    <w:rsid w:val="004219E9"/>
    <w:rsid w:val="004243BF"/>
    <w:rsid w:val="00427556"/>
    <w:rsid w:val="00427849"/>
    <w:rsid w:val="00432916"/>
    <w:rsid w:val="00432DCE"/>
    <w:rsid w:val="00444A76"/>
    <w:rsid w:val="00444AC0"/>
    <w:rsid w:val="004555F9"/>
    <w:rsid w:val="00457862"/>
    <w:rsid w:val="0046336A"/>
    <w:rsid w:val="00463564"/>
    <w:rsid w:val="0046477A"/>
    <w:rsid w:val="004651C5"/>
    <w:rsid w:val="00466763"/>
    <w:rsid w:val="00466F1B"/>
    <w:rsid w:val="00480541"/>
    <w:rsid w:val="00482C39"/>
    <w:rsid w:val="00483806"/>
    <w:rsid w:val="00485A2B"/>
    <w:rsid w:val="00486304"/>
    <w:rsid w:val="00493472"/>
    <w:rsid w:val="00493E7C"/>
    <w:rsid w:val="004951C1"/>
    <w:rsid w:val="0049671B"/>
    <w:rsid w:val="004A1184"/>
    <w:rsid w:val="004A5542"/>
    <w:rsid w:val="004B0561"/>
    <w:rsid w:val="004B36EB"/>
    <w:rsid w:val="004B71F1"/>
    <w:rsid w:val="004B7812"/>
    <w:rsid w:val="004C0B7C"/>
    <w:rsid w:val="004C6C23"/>
    <w:rsid w:val="004C6CEF"/>
    <w:rsid w:val="004C7016"/>
    <w:rsid w:val="004D4C3F"/>
    <w:rsid w:val="004D51C0"/>
    <w:rsid w:val="004D76A9"/>
    <w:rsid w:val="004E0048"/>
    <w:rsid w:val="004E05B2"/>
    <w:rsid w:val="004E2831"/>
    <w:rsid w:val="004E50CC"/>
    <w:rsid w:val="004F1798"/>
    <w:rsid w:val="004F1BB5"/>
    <w:rsid w:val="004F5BAA"/>
    <w:rsid w:val="004F6A02"/>
    <w:rsid w:val="00500DE3"/>
    <w:rsid w:val="00501C49"/>
    <w:rsid w:val="00504818"/>
    <w:rsid w:val="00506A84"/>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34564"/>
    <w:rsid w:val="005405ED"/>
    <w:rsid w:val="00541359"/>
    <w:rsid w:val="00546AFE"/>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3719"/>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2E84"/>
    <w:rsid w:val="0063562B"/>
    <w:rsid w:val="00635673"/>
    <w:rsid w:val="006433DD"/>
    <w:rsid w:val="0065417A"/>
    <w:rsid w:val="0066095F"/>
    <w:rsid w:val="00662314"/>
    <w:rsid w:val="00663C5E"/>
    <w:rsid w:val="006657E9"/>
    <w:rsid w:val="00667439"/>
    <w:rsid w:val="00667632"/>
    <w:rsid w:val="006715E7"/>
    <w:rsid w:val="00671F43"/>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5301"/>
    <w:rsid w:val="00720BFD"/>
    <w:rsid w:val="00724CBF"/>
    <w:rsid w:val="00725462"/>
    <w:rsid w:val="007262BE"/>
    <w:rsid w:val="0073041A"/>
    <w:rsid w:val="0073424F"/>
    <w:rsid w:val="00736C21"/>
    <w:rsid w:val="00737435"/>
    <w:rsid w:val="00737FBD"/>
    <w:rsid w:val="00740DAB"/>
    <w:rsid w:val="00744D90"/>
    <w:rsid w:val="00746847"/>
    <w:rsid w:val="00747205"/>
    <w:rsid w:val="007476E2"/>
    <w:rsid w:val="00747B4B"/>
    <w:rsid w:val="00751568"/>
    <w:rsid w:val="00752664"/>
    <w:rsid w:val="007549D2"/>
    <w:rsid w:val="00754A79"/>
    <w:rsid w:val="00760F7A"/>
    <w:rsid w:val="00762946"/>
    <w:rsid w:val="007640FF"/>
    <w:rsid w:val="00767FCF"/>
    <w:rsid w:val="00775DF4"/>
    <w:rsid w:val="007774FD"/>
    <w:rsid w:val="00777AD5"/>
    <w:rsid w:val="00780C9C"/>
    <w:rsid w:val="00783C7C"/>
    <w:rsid w:val="007849D5"/>
    <w:rsid w:val="007900A5"/>
    <w:rsid w:val="0079028E"/>
    <w:rsid w:val="007939E2"/>
    <w:rsid w:val="00796238"/>
    <w:rsid w:val="007A11D3"/>
    <w:rsid w:val="007A1E32"/>
    <w:rsid w:val="007A307C"/>
    <w:rsid w:val="007A4047"/>
    <w:rsid w:val="007A5C2F"/>
    <w:rsid w:val="007A7664"/>
    <w:rsid w:val="007B05DA"/>
    <w:rsid w:val="007B1967"/>
    <w:rsid w:val="007B531C"/>
    <w:rsid w:val="007B7CB5"/>
    <w:rsid w:val="007C4D75"/>
    <w:rsid w:val="007C563F"/>
    <w:rsid w:val="007C5CE1"/>
    <w:rsid w:val="007D01D8"/>
    <w:rsid w:val="007D1859"/>
    <w:rsid w:val="007D1C0A"/>
    <w:rsid w:val="007D2FDC"/>
    <w:rsid w:val="007D3BC1"/>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75F84"/>
    <w:rsid w:val="008844D7"/>
    <w:rsid w:val="00886B11"/>
    <w:rsid w:val="00896391"/>
    <w:rsid w:val="00896512"/>
    <w:rsid w:val="00897B1E"/>
    <w:rsid w:val="008A190B"/>
    <w:rsid w:val="008A3476"/>
    <w:rsid w:val="008A474C"/>
    <w:rsid w:val="008A4AA2"/>
    <w:rsid w:val="008A4ABD"/>
    <w:rsid w:val="008A7AA6"/>
    <w:rsid w:val="008B0E88"/>
    <w:rsid w:val="008B1BD0"/>
    <w:rsid w:val="008C5A44"/>
    <w:rsid w:val="008C647E"/>
    <w:rsid w:val="008C74CE"/>
    <w:rsid w:val="008C79E0"/>
    <w:rsid w:val="008D0407"/>
    <w:rsid w:val="008D3E26"/>
    <w:rsid w:val="008D4144"/>
    <w:rsid w:val="008D756D"/>
    <w:rsid w:val="008E1B32"/>
    <w:rsid w:val="008E253B"/>
    <w:rsid w:val="008E4DEC"/>
    <w:rsid w:val="008E5C16"/>
    <w:rsid w:val="008F031B"/>
    <w:rsid w:val="008F4828"/>
    <w:rsid w:val="008F5A01"/>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97DA1"/>
    <w:rsid w:val="009A4C33"/>
    <w:rsid w:val="009A77DB"/>
    <w:rsid w:val="009B0B52"/>
    <w:rsid w:val="009B5EF6"/>
    <w:rsid w:val="009B61C6"/>
    <w:rsid w:val="009B6DD4"/>
    <w:rsid w:val="009C246F"/>
    <w:rsid w:val="009C4F7E"/>
    <w:rsid w:val="009C5BDE"/>
    <w:rsid w:val="009C66D9"/>
    <w:rsid w:val="009C73DF"/>
    <w:rsid w:val="009C7A03"/>
    <w:rsid w:val="009D3048"/>
    <w:rsid w:val="009D3B7A"/>
    <w:rsid w:val="009D46BA"/>
    <w:rsid w:val="009D7CDB"/>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149B"/>
    <w:rsid w:val="00A27B09"/>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2B4D"/>
    <w:rsid w:val="00AA5F9D"/>
    <w:rsid w:val="00AA6F6C"/>
    <w:rsid w:val="00AB3570"/>
    <w:rsid w:val="00AB44F2"/>
    <w:rsid w:val="00AC2086"/>
    <w:rsid w:val="00AC34B5"/>
    <w:rsid w:val="00AC36C3"/>
    <w:rsid w:val="00AC7755"/>
    <w:rsid w:val="00AC7AF0"/>
    <w:rsid w:val="00AD018C"/>
    <w:rsid w:val="00AD76C5"/>
    <w:rsid w:val="00AE0E46"/>
    <w:rsid w:val="00AE15E4"/>
    <w:rsid w:val="00AE29C5"/>
    <w:rsid w:val="00AE29FA"/>
    <w:rsid w:val="00AE2E54"/>
    <w:rsid w:val="00AE3053"/>
    <w:rsid w:val="00AE33E2"/>
    <w:rsid w:val="00AE5654"/>
    <w:rsid w:val="00AE5DFC"/>
    <w:rsid w:val="00AE5FD2"/>
    <w:rsid w:val="00AF03E5"/>
    <w:rsid w:val="00AF2992"/>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4236"/>
    <w:rsid w:val="00BA1743"/>
    <w:rsid w:val="00BA4932"/>
    <w:rsid w:val="00BA5C80"/>
    <w:rsid w:val="00BB2B51"/>
    <w:rsid w:val="00BB7FDB"/>
    <w:rsid w:val="00BC01F1"/>
    <w:rsid w:val="00BC0E9B"/>
    <w:rsid w:val="00BC3F17"/>
    <w:rsid w:val="00BD0B6E"/>
    <w:rsid w:val="00BD1E78"/>
    <w:rsid w:val="00BD2B81"/>
    <w:rsid w:val="00BE1F2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17CAD"/>
    <w:rsid w:val="00C22BF9"/>
    <w:rsid w:val="00C23B5C"/>
    <w:rsid w:val="00C24441"/>
    <w:rsid w:val="00C251C1"/>
    <w:rsid w:val="00C33B25"/>
    <w:rsid w:val="00C3563B"/>
    <w:rsid w:val="00C43555"/>
    <w:rsid w:val="00C469CD"/>
    <w:rsid w:val="00C5140A"/>
    <w:rsid w:val="00C55F34"/>
    <w:rsid w:val="00C568F4"/>
    <w:rsid w:val="00C64CB3"/>
    <w:rsid w:val="00C66D65"/>
    <w:rsid w:val="00C6785E"/>
    <w:rsid w:val="00C7615D"/>
    <w:rsid w:val="00C85507"/>
    <w:rsid w:val="00C93FAA"/>
    <w:rsid w:val="00C95482"/>
    <w:rsid w:val="00CA02BF"/>
    <w:rsid w:val="00CA1779"/>
    <w:rsid w:val="00CA2297"/>
    <w:rsid w:val="00CA24FB"/>
    <w:rsid w:val="00CA36DF"/>
    <w:rsid w:val="00CA5B85"/>
    <w:rsid w:val="00CA5E62"/>
    <w:rsid w:val="00CB0903"/>
    <w:rsid w:val="00CB5945"/>
    <w:rsid w:val="00CB61E3"/>
    <w:rsid w:val="00CC6DB2"/>
    <w:rsid w:val="00CD0F06"/>
    <w:rsid w:val="00CD2CA2"/>
    <w:rsid w:val="00CD753F"/>
    <w:rsid w:val="00CE7D23"/>
    <w:rsid w:val="00CF0BAB"/>
    <w:rsid w:val="00CF1E9C"/>
    <w:rsid w:val="00CF263F"/>
    <w:rsid w:val="00CF358E"/>
    <w:rsid w:val="00CF3DB7"/>
    <w:rsid w:val="00CF72EB"/>
    <w:rsid w:val="00CF7876"/>
    <w:rsid w:val="00D013CA"/>
    <w:rsid w:val="00D04888"/>
    <w:rsid w:val="00D07BB8"/>
    <w:rsid w:val="00D12DA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D6DD2"/>
    <w:rsid w:val="00DE0240"/>
    <w:rsid w:val="00DE1281"/>
    <w:rsid w:val="00DE4BFC"/>
    <w:rsid w:val="00DE544B"/>
    <w:rsid w:val="00DE6D5E"/>
    <w:rsid w:val="00DE74A2"/>
    <w:rsid w:val="00DF137F"/>
    <w:rsid w:val="00DF5956"/>
    <w:rsid w:val="00DF7317"/>
    <w:rsid w:val="00E120BF"/>
    <w:rsid w:val="00E2084C"/>
    <w:rsid w:val="00E21DF3"/>
    <w:rsid w:val="00E22ADD"/>
    <w:rsid w:val="00E26185"/>
    <w:rsid w:val="00E30B8E"/>
    <w:rsid w:val="00E3249B"/>
    <w:rsid w:val="00E33912"/>
    <w:rsid w:val="00E33A9B"/>
    <w:rsid w:val="00E35B5E"/>
    <w:rsid w:val="00E42134"/>
    <w:rsid w:val="00E42363"/>
    <w:rsid w:val="00E47D80"/>
    <w:rsid w:val="00E50F2B"/>
    <w:rsid w:val="00E51442"/>
    <w:rsid w:val="00E539A6"/>
    <w:rsid w:val="00E54E7A"/>
    <w:rsid w:val="00E568E6"/>
    <w:rsid w:val="00E57975"/>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1E5"/>
    <w:rsid w:val="00EC1D1A"/>
    <w:rsid w:val="00EC2B49"/>
    <w:rsid w:val="00EC38F7"/>
    <w:rsid w:val="00EC50CE"/>
    <w:rsid w:val="00EC78FC"/>
    <w:rsid w:val="00ED0685"/>
    <w:rsid w:val="00ED2C5F"/>
    <w:rsid w:val="00ED6748"/>
    <w:rsid w:val="00EE14A6"/>
    <w:rsid w:val="00EE1D8F"/>
    <w:rsid w:val="00EE2DCC"/>
    <w:rsid w:val="00EE3DC1"/>
    <w:rsid w:val="00EF5B8A"/>
    <w:rsid w:val="00EF7B41"/>
    <w:rsid w:val="00EF7F18"/>
    <w:rsid w:val="00F1297B"/>
    <w:rsid w:val="00F13D76"/>
    <w:rsid w:val="00F1757F"/>
    <w:rsid w:val="00F17E9C"/>
    <w:rsid w:val="00F22C19"/>
    <w:rsid w:val="00F22DD1"/>
    <w:rsid w:val="00F251D0"/>
    <w:rsid w:val="00F3069F"/>
    <w:rsid w:val="00F3462E"/>
    <w:rsid w:val="00F36E52"/>
    <w:rsid w:val="00F36F84"/>
    <w:rsid w:val="00F41A30"/>
    <w:rsid w:val="00F42CDD"/>
    <w:rsid w:val="00F47BFC"/>
    <w:rsid w:val="00F53577"/>
    <w:rsid w:val="00F53B94"/>
    <w:rsid w:val="00F57732"/>
    <w:rsid w:val="00F6437E"/>
    <w:rsid w:val="00F65A71"/>
    <w:rsid w:val="00F670A7"/>
    <w:rsid w:val="00F7208A"/>
    <w:rsid w:val="00F72641"/>
    <w:rsid w:val="00F73939"/>
    <w:rsid w:val="00F7394A"/>
    <w:rsid w:val="00F743E8"/>
    <w:rsid w:val="00F75C30"/>
    <w:rsid w:val="00F800CE"/>
    <w:rsid w:val="00F8102D"/>
    <w:rsid w:val="00F81523"/>
    <w:rsid w:val="00F816CD"/>
    <w:rsid w:val="00F8446E"/>
    <w:rsid w:val="00F85FE0"/>
    <w:rsid w:val="00F91654"/>
    <w:rsid w:val="00F927E7"/>
    <w:rsid w:val="00F95882"/>
    <w:rsid w:val="00F95C99"/>
    <w:rsid w:val="00FA1255"/>
    <w:rsid w:val="00FA2B0E"/>
    <w:rsid w:val="00FA6FA8"/>
    <w:rsid w:val="00FB2014"/>
    <w:rsid w:val="00FB21F6"/>
    <w:rsid w:val="00FB3274"/>
    <w:rsid w:val="00FB513A"/>
    <w:rsid w:val="00FB6148"/>
    <w:rsid w:val="00FB7B88"/>
    <w:rsid w:val="00FC358F"/>
    <w:rsid w:val="00FC58C5"/>
    <w:rsid w:val="00FC590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 w:type="table" w:customStyle="1" w:styleId="TableUUM1">
    <w:name w:val="Table UUM1"/>
    <w:basedOn w:val="TableNormal"/>
    <w:next w:val="TableGrid"/>
    <w:uiPriority w:val="59"/>
    <w:rsid w:val="00671F43"/>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77/0954410015606939"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https://doi.org/10.1016/j.ast.2012.02.006"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2514/6.2008-38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ast.2012.09.003"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doi.org/10.1016/j.ast.2012.02.005" TargetMode="External"/><Relationship Id="rId28" Type="http://schemas.openxmlformats.org/officeDocument/2006/relationships/footer" Target="footer1.xml"/><Relationship Id="rId10" Type="http://schemas.openxmlformats.org/officeDocument/2006/relationships/hyperlink" Target="https://karyailham.com.my/index.php/arbms/index" TargetMode="External"/><Relationship Id="rId19" Type="http://schemas.openxmlformats.org/officeDocument/2006/relationships/hyperlink" Target="https://doi.crossref.org/simpleTextQuery"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hyperlink" Target="https://doi.org/10.2514/6.2015-1229"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D6073-4A10-4D1E-986C-950527DF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2094</Words>
  <Characters>11942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Rozanti A Hamid</cp:lastModifiedBy>
  <cp:revision>2</cp:revision>
  <cp:lastPrinted>2016-12-23T01:28:00Z</cp:lastPrinted>
  <dcterms:created xsi:type="dcterms:W3CDTF">2025-06-14T05:41:00Z</dcterms:created>
  <dcterms:modified xsi:type="dcterms:W3CDTF">2025-06-14T05:41:00Z</dcterms:modified>
</cp:coreProperties>
</file>